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1：资助方向及要求</w:t>
      </w:r>
    </w:p>
    <w:bookmarkEnd w:id="0"/>
    <w:p>
      <w:pPr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一、优势学科提升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胶体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与界面</w:t>
      </w:r>
      <w:r>
        <w:rPr>
          <w:rFonts w:hint="eastAsia" w:ascii="仿宋_GB2312" w:eastAsia="仿宋_GB2312"/>
          <w:sz w:val="32"/>
          <w:szCs w:val="32"/>
        </w:rPr>
        <w:t>化学—高效表面活性剂(项目代码:2018A05,以下同）</w:t>
      </w:r>
    </w:p>
    <w:p>
      <w:pPr>
        <w:ind w:left="480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海洋生物</w:t>
      </w:r>
      <w:r>
        <w:rPr>
          <w:rFonts w:hint="eastAsia" w:ascii="仿宋_GB2312" w:eastAsia="仿宋_GB2312"/>
          <w:sz w:val="32"/>
          <w:szCs w:val="32"/>
        </w:rPr>
        <w:t>遗传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学与</w:t>
      </w:r>
      <w:r>
        <w:rPr>
          <w:rFonts w:hint="eastAsia" w:ascii="仿宋_GB2312" w:eastAsia="仿宋_GB2312"/>
          <w:sz w:val="32"/>
          <w:szCs w:val="32"/>
        </w:rPr>
        <w:t>育种—海洋贝类模式动物平台 (2018A07)</w:t>
      </w:r>
    </w:p>
    <w:p>
      <w:pPr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二、战略跟踪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跟踪学科发展前沿，开展适度前瞻性研究，夯实知识与技术的储备，提升我省相关领域的学术影响力与竞争力。要求结合重大应用需求开展深入的研究工作，掌握核心技术，发表高水平论文，申报发明专利4件以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太赫兹、量子信息与器件（2018B06）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 材料基因工程（2018B07）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 人机交互技术(2018B08)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三、基础研究成果深度消化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充分利用前期基础研究取得的成果，与省内相关企业（行业管理部门）进行有效对接，针对产业应用中的实际需求与技术瓶颈问题，开展深入的应用基础研究，掌握相关的核心技术，为最终攻克技术难题奠定基础。要求项目研究的预期技术指标达到相关产业的领先水平，申报发明专利4件以上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新型靶向药物开发（2018C10）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中药药效物质发现与开发（2018C11）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生物组织工程材料（非增材制造方式）(2018C12)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信息功能材料与器件(2018C13）</w:t>
      </w:r>
    </w:p>
    <w:p>
      <w:pPr>
        <w:ind w:left="1278" w:leftChars="304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10.先进储能材料与器件（不包括钙钛矿系材料）(2018C14)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11. 极端条件下复合陶瓷材料（2018C15）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 微化工技术(2018C16)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13. 高效焊接加工技术(2018C17)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14. 机械曲面抛光技术(2018C18)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15. 模具加工关键制造技术(2018C19)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 高效热交换器设计与制造（2018C20）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煤清洁利用技术(2018C21)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生物农药与生物防治技术（2018C22）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典型区域土壤污染治理(2018C23)</w:t>
      </w:r>
    </w:p>
    <w:p>
      <w:r>
        <w:rPr>
          <w:rFonts w:hint="eastAsia" w:ascii="仿宋_GB2312" w:eastAsia="仿宋_GB2312"/>
          <w:sz w:val="32"/>
          <w:szCs w:val="32"/>
        </w:rPr>
        <w:t xml:space="preserve">    20. 区域金融风险防范数学模型（2018C24）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75BBE"/>
    <w:multiLevelType w:val="singleLevel"/>
    <w:tmpl w:val="EDC75BBE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7F6F57F2"/>
    <w:multiLevelType w:val="singleLevel"/>
    <w:tmpl w:val="7F6F57F2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4DED"/>
    <w:rsid w:val="2C924D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2018-06-05T07:18:00Z</dcterms:created>
  <dc:creator>董天</dc:creator>
  <cp:lastModifiedBy>董天</cp:lastModifiedBy>
  <dcterms:modified xsi:type="dcterms:W3CDTF">2018-06-05T07:18:54Z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