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40" w:lineRule="exact"/>
        <w:ind w:left="0" w:right="0"/>
        <w:jc w:val="center"/>
        <w:textAlignment w:val="baseline"/>
        <w:rPr>
          <w:rFonts w:hint="eastAsia" w:ascii="方正小标宋简体" w:hAnsi="方正小标宋简体" w:eastAsia="方正小标宋简体" w:cs="方正小标宋简体"/>
          <w:spacing w:val="5"/>
          <w:sz w:val="44"/>
          <w:szCs w:val="44"/>
          <w:lang w:val="en-US" w:eastAsia="zh-CN"/>
        </w:rPr>
      </w:pPr>
      <w:r>
        <w:rPr>
          <w:rFonts w:hint="eastAsia" w:ascii="方正小标宋简体" w:hAnsi="方正小标宋简体" w:eastAsia="方正小标宋简体" w:cs="方正小标宋简体"/>
          <w:spacing w:val="5"/>
          <w:sz w:val="44"/>
          <w:szCs w:val="44"/>
          <w:lang w:val="en-US" w:eastAsia="zh-CN"/>
        </w:rPr>
        <w:t>济宁医学院</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right="0"/>
        <w:jc w:val="center"/>
        <w:textAlignment w:val="baseline"/>
        <w:rPr>
          <w:rFonts w:ascii="方正小标宋简体" w:hAnsi="方正小标宋简体" w:eastAsia="方正小标宋简体" w:cs="方正小标宋简体"/>
          <w:spacing w:val="9"/>
          <w:sz w:val="44"/>
          <w:szCs w:val="44"/>
        </w:rPr>
      </w:pPr>
      <w:r>
        <w:rPr>
          <w:rFonts w:ascii="方正小标宋简体" w:hAnsi="方正小标宋简体" w:eastAsia="方正小标宋简体" w:cs="方正小标宋简体"/>
          <w:spacing w:val="9"/>
          <w:sz w:val="44"/>
          <w:szCs w:val="44"/>
        </w:rPr>
        <w:t>关于举办第七届全国大学生</w:t>
      </w:r>
      <w:r>
        <w:rPr>
          <w:rFonts w:ascii="方正小标宋简体" w:hAnsi="方正小标宋简体" w:eastAsia="方正小标宋简体" w:cs="方正小标宋简体"/>
          <w:spacing w:val="8"/>
          <w:sz w:val="44"/>
          <w:szCs w:val="44"/>
        </w:rPr>
        <w:t>网络文化节和全国高校网络教育优秀作品</w:t>
      </w:r>
      <w:r>
        <w:rPr>
          <w:rFonts w:ascii="方正小标宋简体" w:hAnsi="方正小标宋简体" w:eastAsia="方正小标宋简体" w:cs="方正小标宋简体"/>
          <w:spacing w:val="9"/>
          <w:sz w:val="44"/>
          <w:szCs w:val="44"/>
        </w:rPr>
        <w:t>推选展示活动的</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right="0"/>
        <w:jc w:val="center"/>
        <w:textAlignment w:val="baseline"/>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pacing w:val="9"/>
          <w:sz w:val="44"/>
          <w:szCs w:val="44"/>
        </w:rPr>
        <w:t>通知</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right="0"/>
        <w:textAlignment w:val="baseline"/>
        <w:rPr>
          <w:rFonts w:ascii="Arial"/>
          <w:sz w:val="21"/>
        </w:rPr>
      </w:pP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各</w:t>
      </w:r>
      <w:r>
        <w:rPr>
          <w:rFonts w:hint="eastAsia" w:ascii="仿宋_GB2312" w:hAnsi="仿宋_GB2312" w:eastAsia="仿宋_GB2312" w:cs="仿宋_GB2312"/>
          <w:spacing w:val="-2"/>
          <w:sz w:val="32"/>
          <w:szCs w:val="32"/>
          <w:lang w:val="en-US" w:eastAsia="zh-CN"/>
        </w:rPr>
        <w:t>部门、单位</w:t>
      </w:r>
      <w:r>
        <w:rPr>
          <w:rFonts w:hint="eastAsia" w:ascii="仿宋_GB2312" w:hAnsi="仿宋_GB2312" w:eastAsia="仿宋_GB2312" w:cs="仿宋_GB2312"/>
          <w:spacing w:val="-2"/>
          <w:sz w:val="32"/>
          <w:szCs w:val="32"/>
        </w:rPr>
        <w:t>：</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5"/>
          <w:sz w:val="32"/>
          <w:szCs w:val="32"/>
          <w:lang w:eastAsia="zh-CN"/>
        </w:rPr>
      </w:pPr>
      <w:r>
        <w:rPr>
          <w:rFonts w:hint="eastAsia" w:ascii="仿宋_GB2312" w:hAnsi="仿宋_GB2312" w:eastAsia="仿宋_GB2312" w:cs="仿宋_GB2312"/>
          <w:spacing w:val="10"/>
          <w:sz w:val="32"/>
          <w:szCs w:val="32"/>
          <w:lang w:val="en-US" w:eastAsia="zh-CN"/>
        </w:rPr>
        <w:t>根据省教育厅下发的《关于转发〈</w:t>
      </w:r>
      <w:r>
        <w:rPr>
          <w:rFonts w:hint="eastAsia" w:ascii="仿宋_GB2312" w:hAnsi="仿宋_GB2312" w:eastAsia="仿宋_GB2312" w:cs="仿宋_GB2312"/>
          <w:spacing w:val="10"/>
          <w:sz w:val="32"/>
          <w:szCs w:val="32"/>
        </w:rPr>
        <w:t>中央网信办网络社会工作局教育部思想政治工作司</w:t>
      </w:r>
      <w:r>
        <w:rPr>
          <w:rFonts w:hint="eastAsia" w:ascii="仿宋_GB2312" w:hAnsi="仿宋_GB2312" w:eastAsia="仿宋_GB2312" w:cs="仿宋_GB2312"/>
          <w:spacing w:val="16"/>
          <w:sz w:val="32"/>
          <w:szCs w:val="32"/>
        </w:rPr>
        <w:t>关于举办第七届全国大学生网络文化节和全国高校网络教育优</w:t>
      </w:r>
      <w:r>
        <w:rPr>
          <w:rFonts w:hint="eastAsia" w:ascii="仿宋_GB2312" w:hAnsi="仿宋_GB2312" w:eastAsia="仿宋_GB2312" w:cs="仿宋_GB2312"/>
          <w:spacing w:val="1"/>
          <w:sz w:val="32"/>
          <w:szCs w:val="32"/>
        </w:rPr>
        <w:t>秀作品推选展示活动的通知</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lang w:val="en-US" w:eastAsia="zh-CN"/>
        </w:rPr>
        <w:t>的通知</w:t>
      </w:r>
      <w:r>
        <w:rPr>
          <w:rFonts w:hint="eastAsia" w:ascii="仿宋_GB2312" w:hAnsi="仿宋_GB2312" w:eastAsia="仿宋_GB2312" w:cs="仿宋_GB2312"/>
          <w:spacing w:val="1"/>
          <w:sz w:val="32"/>
          <w:szCs w:val="32"/>
        </w:rPr>
        <w:t>》要求，</w:t>
      </w:r>
      <w:r>
        <w:rPr>
          <w:rFonts w:hint="eastAsia" w:ascii="仿宋_GB2312" w:hAnsi="仿宋_GB2312" w:eastAsia="仿宋_GB2312" w:cs="仿宋_GB2312"/>
          <w:spacing w:val="1"/>
          <w:sz w:val="32"/>
          <w:szCs w:val="32"/>
          <w:lang w:val="en-US" w:eastAsia="zh-CN"/>
        </w:rPr>
        <w:t>请</w:t>
      </w:r>
      <w:r>
        <w:rPr>
          <w:rFonts w:hint="eastAsia" w:ascii="仿宋_GB2312" w:hAnsi="仿宋_GB2312" w:eastAsia="仿宋_GB2312" w:cs="仿宋_GB2312"/>
          <w:spacing w:val="1"/>
          <w:sz w:val="32"/>
          <w:szCs w:val="32"/>
        </w:rPr>
        <w:t>广</w:t>
      </w:r>
      <w:r>
        <w:rPr>
          <w:rFonts w:hint="eastAsia" w:ascii="仿宋_GB2312" w:hAnsi="仿宋_GB2312" w:eastAsia="仿宋_GB2312" w:cs="仿宋_GB2312"/>
          <w:spacing w:val="-2"/>
          <w:sz w:val="32"/>
          <w:szCs w:val="32"/>
        </w:rPr>
        <w:t>泛宣传动员，精心组织部署，严格按照申报条件、标准和程序组</w:t>
      </w:r>
      <w:r>
        <w:rPr>
          <w:rFonts w:hint="eastAsia" w:ascii="仿宋_GB2312" w:hAnsi="仿宋_GB2312" w:eastAsia="仿宋_GB2312" w:cs="仿宋_GB2312"/>
          <w:spacing w:val="5"/>
          <w:sz w:val="32"/>
          <w:szCs w:val="32"/>
        </w:rPr>
        <w:t>织推荐申报。现将</w:t>
      </w:r>
      <w:r>
        <w:rPr>
          <w:rFonts w:hint="eastAsia" w:ascii="仿宋_GB2312" w:hAnsi="仿宋_GB2312" w:eastAsia="仿宋_GB2312" w:cs="仿宋_GB2312"/>
          <w:spacing w:val="5"/>
          <w:sz w:val="32"/>
          <w:szCs w:val="32"/>
          <w:lang w:val="en-US" w:eastAsia="zh-CN"/>
        </w:rPr>
        <w:t>我校</w:t>
      </w:r>
      <w:r>
        <w:rPr>
          <w:rFonts w:hint="eastAsia" w:ascii="仿宋_GB2312" w:hAnsi="仿宋_GB2312" w:eastAsia="仿宋_GB2312" w:cs="仿宋_GB2312"/>
          <w:spacing w:val="5"/>
          <w:sz w:val="32"/>
          <w:szCs w:val="32"/>
        </w:rPr>
        <w:t>有关工作安排通知如下</w:t>
      </w:r>
      <w:r>
        <w:rPr>
          <w:rFonts w:hint="eastAsia" w:ascii="仿宋_GB2312" w:hAnsi="仿宋_GB2312" w:eastAsia="仿宋_GB2312" w:cs="仿宋_GB2312"/>
          <w:spacing w:val="5"/>
          <w:sz w:val="32"/>
          <w:szCs w:val="32"/>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leftChars="0" w:firstLine="664" w:firstLineChars="200"/>
        <w:textAlignment w:val="baseline"/>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一、活动目标</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6"/>
          <w:sz w:val="32"/>
          <w:szCs w:val="32"/>
          <w:lang w:eastAsia="zh-CN"/>
        </w:rPr>
      </w:pPr>
      <w:r>
        <w:rPr>
          <w:rFonts w:hint="eastAsia" w:ascii="仿宋_GB2312" w:hAnsi="仿宋_GB2312" w:eastAsia="仿宋_GB2312" w:cs="仿宋_GB2312"/>
          <w:spacing w:val="16"/>
          <w:sz w:val="32"/>
          <w:szCs w:val="32"/>
          <w:lang w:eastAsia="zh-CN"/>
        </w:rPr>
        <w:t>以习近平新时代中国特色社会主义思想为指导，围绕“奋进新征程，建功新时代”主旋律，突出爱国爱党爱社会主义引领，推动广大师生积极参与网络文化作品创作生产扩大</w:t>
      </w:r>
      <w:r>
        <w:rPr>
          <w:rFonts w:hint="eastAsia" w:ascii="仿宋_GB2312" w:hAnsi="仿宋_GB2312" w:eastAsia="仿宋_GB2312" w:cs="仿宋_GB2312"/>
          <w:spacing w:val="16"/>
          <w:sz w:val="32"/>
          <w:szCs w:val="32"/>
          <w:lang w:val="en-US" w:eastAsia="zh-CN"/>
        </w:rPr>
        <w:t>学校</w:t>
      </w:r>
      <w:r>
        <w:rPr>
          <w:rFonts w:hint="eastAsia" w:ascii="仿宋_GB2312" w:hAnsi="仿宋_GB2312" w:eastAsia="仿宋_GB2312" w:cs="仿宋_GB2312"/>
          <w:spacing w:val="16"/>
          <w:sz w:val="32"/>
          <w:szCs w:val="32"/>
          <w:lang w:eastAsia="zh-CN"/>
        </w:rPr>
        <w:t>网络文化影响力，不断强化守正创新，增强新时代思想政治工作的吸引力和实效性。高校思想政治工作的吸引力和实效性。</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leftChars="0" w:firstLine="664" w:firstLineChars="200"/>
        <w:textAlignment w:val="baseline"/>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二、活动主题</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6"/>
          <w:sz w:val="32"/>
          <w:szCs w:val="32"/>
          <w:lang w:eastAsia="zh-CN"/>
        </w:rPr>
      </w:pPr>
      <w:r>
        <w:rPr>
          <w:rFonts w:hint="eastAsia" w:ascii="仿宋_GB2312" w:hAnsi="仿宋_GB2312" w:eastAsia="仿宋_GB2312" w:cs="仿宋_GB2312"/>
          <w:spacing w:val="16"/>
          <w:sz w:val="32"/>
          <w:szCs w:val="32"/>
          <w:lang w:eastAsia="zh-CN"/>
        </w:rPr>
        <w:t>争做校园好网民，汇聚网络正能量，挺膺担当建新功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leftChars="0" w:firstLine="664" w:firstLineChars="200"/>
        <w:textAlignment w:val="baseline"/>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三、活动时间</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6"/>
          <w:sz w:val="32"/>
          <w:szCs w:val="32"/>
          <w:lang w:eastAsia="zh-CN"/>
        </w:rPr>
      </w:pPr>
      <w:r>
        <w:rPr>
          <w:rFonts w:hint="eastAsia" w:ascii="仿宋_GB2312" w:hAnsi="仿宋_GB2312" w:eastAsia="仿宋_GB2312" w:cs="仿宋_GB2312"/>
          <w:spacing w:val="16"/>
          <w:sz w:val="32"/>
          <w:szCs w:val="32"/>
          <w:lang w:eastAsia="zh-CN"/>
        </w:rPr>
        <w:t>2023年</w:t>
      </w:r>
      <w:r>
        <w:rPr>
          <w:rFonts w:hint="eastAsia" w:ascii="仿宋_GB2312" w:hAnsi="仿宋_GB2312" w:eastAsia="仿宋_GB2312" w:cs="仿宋_GB2312"/>
          <w:spacing w:val="16"/>
          <w:sz w:val="32"/>
          <w:szCs w:val="32"/>
          <w:lang w:val="en-US" w:eastAsia="zh-CN"/>
        </w:rPr>
        <w:t>12</w:t>
      </w:r>
      <w:r>
        <w:rPr>
          <w:rFonts w:hint="eastAsia" w:ascii="仿宋_GB2312" w:hAnsi="仿宋_GB2312" w:eastAsia="仿宋_GB2312" w:cs="仿宋_GB2312"/>
          <w:spacing w:val="16"/>
          <w:sz w:val="32"/>
          <w:szCs w:val="32"/>
          <w:lang w:eastAsia="zh-CN"/>
        </w:rPr>
        <w:t>月</w:t>
      </w:r>
      <w:r>
        <w:rPr>
          <w:rFonts w:hint="eastAsia" w:ascii="仿宋_GB2312" w:hAnsi="仿宋_GB2312" w:eastAsia="仿宋_GB2312" w:cs="仿宋_GB2312"/>
          <w:spacing w:val="16"/>
          <w:sz w:val="32"/>
          <w:szCs w:val="32"/>
          <w:lang w:val="en-US" w:eastAsia="zh-CN"/>
        </w:rPr>
        <w:t>15</w:t>
      </w:r>
      <w:r>
        <w:rPr>
          <w:rFonts w:hint="eastAsia" w:ascii="仿宋_GB2312" w:hAnsi="仿宋_GB2312" w:eastAsia="仿宋_GB2312" w:cs="仿宋_GB2312"/>
          <w:spacing w:val="16"/>
          <w:sz w:val="32"/>
          <w:szCs w:val="32"/>
          <w:lang w:eastAsia="zh-CN"/>
        </w:rPr>
        <w:t>至202</w:t>
      </w:r>
      <w:r>
        <w:rPr>
          <w:rFonts w:hint="eastAsia" w:ascii="仿宋_GB2312" w:hAnsi="仿宋_GB2312" w:eastAsia="仿宋_GB2312" w:cs="仿宋_GB2312"/>
          <w:spacing w:val="16"/>
          <w:sz w:val="32"/>
          <w:szCs w:val="32"/>
          <w:lang w:val="en-US" w:eastAsia="zh-CN"/>
        </w:rPr>
        <w:t>3</w:t>
      </w:r>
      <w:r>
        <w:rPr>
          <w:rFonts w:hint="eastAsia" w:ascii="仿宋_GB2312" w:hAnsi="仿宋_GB2312" w:eastAsia="仿宋_GB2312" w:cs="仿宋_GB2312"/>
          <w:spacing w:val="16"/>
          <w:sz w:val="32"/>
          <w:szCs w:val="32"/>
          <w:lang w:eastAsia="zh-CN"/>
        </w:rPr>
        <w:t>年</w:t>
      </w:r>
      <w:r>
        <w:rPr>
          <w:rFonts w:hint="eastAsia" w:ascii="仿宋_GB2312" w:hAnsi="仿宋_GB2312" w:eastAsia="仿宋_GB2312" w:cs="仿宋_GB2312"/>
          <w:spacing w:val="16"/>
          <w:sz w:val="32"/>
          <w:szCs w:val="32"/>
          <w:lang w:val="en-US" w:eastAsia="zh-CN"/>
        </w:rPr>
        <w:t>12</w:t>
      </w:r>
      <w:r>
        <w:rPr>
          <w:rFonts w:hint="eastAsia" w:ascii="仿宋_GB2312" w:hAnsi="仿宋_GB2312" w:eastAsia="仿宋_GB2312" w:cs="仿宋_GB2312"/>
          <w:spacing w:val="16"/>
          <w:sz w:val="32"/>
          <w:szCs w:val="32"/>
          <w:lang w:eastAsia="zh-CN"/>
        </w:rPr>
        <w:t>月</w:t>
      </w:r>
      <w:r>
        <w:rPr>
          <w:rFonts w:hint="eastAsia" w:ascii="仿宋_GB2312" w:hAnsi="仿宋_GB2312" w:eastAsia="仿宋_GB2312" w:cs="仿宋_GB2312"/>
          <w:spacing w:val="16"/>
          <w:sz w:val="32"/>
          <w:szCs w:val="32"/>
          <w:lang w:val="en-US" w:eastAsia="zh-CN"/>
        </w:rPr>
        <w:t>28日</w:t>
      </w:r>
      <w:r>
        <w:rPr>
          <w:rFonts w:hint="eastAsia" w:ascii="仿宋_GB2312" w:hAnsi="仿宋_GB2312" w:eastAsia="仿宋_GB2312" w:cs="仿宋_GB2312"/>
          <w:spacing w:val="16"/>
          <w:sz w:val="32"/>
          <w:szCs w:val="32"/>
          <w:lang w:eastAsia="zh-CN"/>
        </w:rPr>
        <w:t>。活动包括作品征集和比选展示两个阶段。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leftChars="0" w:firstLine="664" w:firstLineChars="200"/>
        <w:textAlignment w:val="baseline"/>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四、活动对象</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“大学生网络文化节”面向</w:t>
      </w:r>
      <w:r>
        <w:rPr>
          <w:rFonts w:hint="eastAsia" w:ascii="仿宋_GB2312" w:hAnsi="仿宋_GB2312" w:eastAsia="仿宋_GB2312" w:cs="仿宋_GB2312"/>
          <w:spacing w:val="-2"/>
          <w:sz w:val="32"/>
          <w:szCs w:val="32"/>
          <w:lang w:val="en-US" w:eastAsia="zh-CN"/>
        </w:rPr>
        <w:t>全校</w:t>
      </w:r>
      <w:r>
        <w:rPr>
          <w:rFonts w:hint="eastAsia" w:ascii="仿宋_GB2312" w:hAnsi="仿宋_GB2312" w:eastAsia="仿宋_GB2312" w:cs="仿宋_GB2312"/>
          <w:spacing w:val="-2"/>
          <w:sz w:val="32"/>
          <w:szCs w:val="32"/>
          <w:lang w:eastAsia="zh-CN"/>
        </w:rPr>
        <w:t>全日制在校学生群体</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“高校网络教育优秀作品推选展示活动”面向</w:t>
      </w:r>
      <w:r>
        <w:rPr>
          <w:rFonts w:hint="eastAsia" w:ascii="仿宋_GB2312" w:hAnsi="仿宋_GB2312" w:eastAsia="仿宋_GB2312" w:cs="仿宋_GB2312"/>
          <w:spacing w:val="-2"/>
          <w:sz w:val="32"/>
          <w:szCs w:val="32"/>
          <w:lang w:val="en-US" w:eastAsia="zh-CN"/>
        </w:rPr>
        <w:t>全校</w:t>
      </w:r>
      <w:r>
        <w:rPr>
          <w:rFonts w:hint="eastAsia" w:ascii="仿宋_GB2312" w:hAnsi="仿宋_GB2312" w:eastAsia="仿宋_GB2312" w:cs="仿宋_GB2312"/>
          <w:spacing w:val="3"/>
          <w:sz w:val="32"/>
          <w:szCs w:val="32"/>
        </w:rPr>
        <w:t>思想政治</w:t>
      </w:r>
      <w:r>
        <w:rPr>
          <w:rFonts w:hint="eastAsia" w:ascii="仿宋_GB2312" w:hAnsi="仿宋_GB2312" w:eastAsia="仿宋_GB2312" w:cs="仿宋_GB2312"/>
          <w:spacing w:val="5"/>
          <w:sz w:val="32"/>
          <w:szCs w:val="32"/>
        </w:rPr>
        <w:t>工作者、党务工作者或从事相关领域理论研究和实践工作的专业</w:t>
      </w:r>
      <w:r>
        <w:rPr>
          <w:rFonts w:hint="eastAsia" w:ascii="仿宋_GB2312" w:hAnsi="仿宋_GB2312" w:eastAsia="仿宋_GB2312" w:cs="仿宋_GB2312"/>
          <w:spacing w:val="1"/>
          <w:sz w:val="32"/>
          <w:szCs w:val="32"/>
        </w:rPr>
        <w:t>教师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leftChars="0" w:firstLine="664" w:firstLineChars="200"/>
        <w:textAlignment w:val="baseline"/>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五、推荐数量</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“大学生网络文化节”主要征集</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rPr>
        <w:t>微视频、微电影、动漫、摄影、网文、公益广告、音频、校园歌曲、其他类网络创新作品等9类作品，作品网络发表时间范围为2022年10月1日至202</w:t>
      </w:r>
      <w:r>
        <w:rPr>
          <w:rFonts w:hint="eastAsia" w:ascii="仿宋_GB2312" w:hAnsi="仿宋_GB2312" w:eastAsia="仿宋_GB2312" w:cs="仿宋_GB2312"/>
          <w:spacing w:val="10"/>
          <w:sz w:val="32"/>
          <w:szCs w:val="32"/>
          <w:lang w:val="en-US" w:eastAsia="zh-CN"/>
        </w:rPr>
        <w:t>3</w:t>
      </w:r>
      <w:r>
        <w:rPr>
          <w:rFonts w:hint="eastAsia" w:ascii="仿宋_GB2312" w:hAnsi="仿宋_GB2312" w:eastAsia="仿宋_GB2312" w:cs="仿宋_GB2312"/>
          <w:spacing w:val="10"/>
          <w:sz w:val="32"/>
          <w:szCs w:val="32"/>
        </w:rPr>
        <w:t>年</w:t>
      </w:r>
      <w:r>
        <w:rPr>
          <w:rFonts w:hint="eastAsia" w:ascii="仿宋_GB2312" w:hAnsi="仿宋_GB2312" w:eastAsia="仿宋_GB2312" w:cs="仿宋_GB2312"/>
          <w:spacing w:val="10"/>
          <w:sz w:val="32"/>
          <w:szCs w:val="32"/>
          <w:lang w:val="en-US" w:eastAsia="zh-CN"/>
        </w:rPr>
        <w:t>12</w:t>
      </w:r>
      <w:r>
        <w:rPr>
          <w:rFonts w:hint="eastAsia" w:ascii="仿宋_GB2312" w:hAnsi="仿宋_GB2312" w:eastAsia="仿宋_GB2312" w:cs="仿宋_GB2312"/>
          <w:spacing w:val="10"/>
          <w:sz w:val="32"/>
          <w:szCs w:val="32"/>
        </w:rPr>
        <w:t>月</w:t>
      </w:r>
      <w:r>
        <w:rPr>
          <w:rFonts w:hint="eastAsia" w:ascii="仿宋_GB2312" w:hAnsi="仿宋_GB2312" w:eastAsia="仿宋_GB2312" w:cs="仿宋_GB2312"/>
          <w:spacing w:val="10"/>
          <w:sz w:val="32"/>
          <w:szCs w:val="32"/>
          <w:lang w:val="en-US" w:eastAsia="zh-CN"/>
        </w:rPr>
        <w:t>28</w:t>
      </w:r>
      <w:r>
        <w:rPr>
          <w:rFonts w:hint="eastAsia" w:ascii="仿宋_GB2312" w:hAnsi="仿宋_GB2312" w:eastAsia="仿宋_GB2312" w:cs="仿宋_GB2312"/>
          <w:spacing w:val="10"/>
          <w:sz w:val="32"/>
          <w:szCs w:val="32"/>
        </w:rPr>
        <w:t>日。在校生数</w:t>
      </w:r>
      <w:r>
        <w:rPr>
          <w:rFonts w:hint="eastAsia" w:ascii="仿宋_GB2312" w:hAnsi="仿宋_GB2312" w:eastAsia="仿宋_GB2312" w:cs="仿宋_GB2312"/>
          <w:spacing w:val="10"/>
          <w:sz w:val="32"/>
          <w:szCs w:val="32"/>
          <w:lang w:eastAsia="zh-CN"/>
        </w:rPr>
        <w:t>超过1千人</w:t>
      </w:r>
      <w:r>
        <w:rPr>
          <w:rFonts w:hint="eastAsia" w:ascii="仿宋_GB2312" w:hAnsi="仿宋_GB2312" w:eastAsia="仿宋_GB2312" w:cs="仿宋_GB2312"/>
          <w:spacing w:val="10"/>
          <w:sz w:val="32"/>
          <w:szCs w:val="32"/>
        </w:rPr>
        <w:t>的</w:t>
      </w:r>
      <w:r>
        <w:rPr>
          <w:rFonts w:hint="eastAsia" w:ascii="仿宋_GB2312" w:hAnsi="仿宋_GB2312" w:eastAsia="仿宋_GB2312" w:cs="仿宋_GB2312"/>
          <w:spacing w:val="10"/>
          <w:sz w:val="32"/>
          <w:szCs w:val="32"/>
          <w:lang w:val="en-US" w:eastAsia="zh-CN"/>
        </w:rPr>
        <w:t>二级学院</w:t>
      </w:r>
      <w:r>
        <w:rPr>
          <w:rFonts w:hint="eastAsia" w:ascii="仿宋_GB2312" w:hAnsi="仿宋_GB2312" w:eastAsia="仿宋_GB2312" w:cs="仿宋_GB2312"/>
          <w:spacing w:val="10"/>
          <w:sz w:val="32"/>
          <w:szCs w:val="32"/>
        </w:rPr>
        <w:t>，每类作品推荐不超过</w:t>
      </w:r>
      <w:r>
        <w:rPr>
          <w:rFonts w:hint="eastAsia" w:ascii="仿宋_GB2312" w:hAnsi="仿宋_GB2312" w:eastAsia="仿宋_GB2312" w:cs="仿宋_GB2312"/>
          <w:spacing w:val="10"/>
          <w:sz w:val="32"/>
          <w:szCs w:val="32"/>
          <w:lang w:val="en-US" w:eastAsia="zh-CN"/>
        </w:rPr>
        <w:t>2</w:t>
      </w:r>
      <w:r>
        <w:rPr>
          <w:rFonts w:hint="eastAsia" w:ascii="仿宋_GB2312" w:hAnsi="仿宋_GB2312" w:eastAsia="仿宋_GB2312" w:cs="仿宋_GB2312"/>
          <w:spacing w:val="10"/>
          <w:sz w:val="32"/>
          <w:szCs w:val="32"/>
        </w:rPr>
        <w:t>件；在校生数为</w:t>
      </w:r>
      <w:r>
        <w:rPr>
          <w:rFonts w:hint="eastAsia" w:ascii="仿宋_GB2312" w:hAnsi="仿宋_GB2312" w:eastAsia="仿宋_GB2312" w:cs="仿宋_GB2312"/>
          <w:spacing w:val="10"/>
          <w:sz w:val="32"/>
          <w:szCs w:val="32"/>
          <w:lang w:val="en-US" w:eastAsia="zh-CN"/>
        </w:rPr>
        <w:t>1千人以下的二级学院，</w:t>
      </w:r>
      <w:r>
        <w:rPr>
          <w:rFonts w:hint="eastAsia" w:ascii="仿宋_GB2312" w:hAnsi="仿宋_GB2312" w:eastAsia="仿宋_GB2312" w:cs="仿宋_GB2312"/>
          <w:spacing w:val="10"/>
          <w:sz w:val="32"/>
          <w:szCs w:val="32"/>
        </w:rPr>
        <w:t>每类作品推荐不超过</w:t>
      </w:r>
      <w:r>
        <w:rPr>
          <w:rFonts w:hint="eastAsia" w:ascii="仿宋_GB2312" w:hAnsi="仿宋_GB2312" w:eastAsia="仿宋_GB2312" w:cs="仿宋_GB2312"/>
          <w:spacing w:val="10"/>
          <w:sz w:val="32"/>
          <w:szCs w:val="32"/>
          <w:lang w:val="en-US" w:eastAsia="zh-CN"/>
        </w:rPr>
        <w:t>1</w:t>
      </w:r>
      <w:r>
        <w:rPr>
          <w:rFonts w:hint="eastAsia" w:ascii="仿宋_GB2312" w:hAnsi="仿宋_GB2312" w:eastAsia="仿宋_GB2312" w:cs="仿宋_GB2312"/>
          <w:spacing w:val="10"/>
          <w:sz w:val="32"/>
          <w:szCs w:val="32"/>
        </w:rPr>
        <w:t>件。</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“高校网络教育优秀作品推选展示活动”主要征集优秀网络文章、优秀工作案例、优秀微课、优秀新媒体作品等4类作品，作品网络发表时间范围为2022年10月1日至202</w:t>
      </w:r>
      <w:r>
        <w:rPr>
          <w:rFonts w:hint="eastAsia" w:ascii="仿宋_GB2312" w:hAnsi="仿宋_GB2312" w:eastAsia="仿宋_GB2312" w:cs="仿宋_GB2312"/>
          <w:spacing w:val="10"/>
          <w:sz w:val="32"/>
          <w:szCs w:val="32"/>
          <w:lang w:val="en-US" w:eastAsia="zh-CN"/>
        </w:rPr>
        <w:t>3</w:t>
      </w:r>
      <w:r>
        <w:rPr>
          <w:rFonts w:hint="eastAsia" w:ascii="仿宋_GB2312" w:hAnsi="仿宋_GB2312" w:eastAsia="仿宋_GB2312" w:cs="仿宋_GB2312"/>
          <w:spacing w:val="10"/>
          <w:sz w:val="32"/>
          <w:szCs w:val="32"/>
        </w:rPr>
        <w:t>年1</w:t>
      </w:r>
      <w:r>
        <w:rPr>
          <w:rFonts w:hint="eastAsia" w:ascii="仿宋_GB2312" w:hAnsi="仿宋_GB2312" w:eastAsia="仿宋_GB2312" w:cs="仿宋_GB2312"/>
          <w:spacing w:val="10"/>
          <w:sz w:val="32"/>
          <w:szCs w:val="32"/>
          <w:lang w:val="en-US" w:eastAsia="zh-CN"/>
        </w:rPr>
        <w:t>2</w:t>
      </w:r>
      <w:r>
        <w:rPr>
          <w:rFonts w:hint="eastAsia" w:ascii="仿宋_GB2312" w:hAnsi="仿宋_GB2312" w:eastAsia="仿宋_GB2312" w:cs="仿宋_GB2312"/>
          <w:spacing w:val="10"/>
          <w:sz w:val="32"/>
          <w:szCs w:val="32"/>
        </w:rPr>
        <w:t>月</w:t>
      </w:r>
      <w:r>
        <w:rPr>
          <w:rFonts w:hint="eastAsia" w:ascii="仿宋_GB2312" w:hAnsi="仿宋_GB2312" w:eastAsia="仿宋_GB2312" w:cs="仿宋_GB2312"/>
          <w:spacing w:val="10"/>
          <w:sz w:val="32"/>
          <w:szCs w:val="32"/>
          <w:lang w:val="en-US" w:eastAsia="zh-CN"/>
        </w:rPr>
        <w:t>28</w:t>
      </w:r>
      <w:r>
        <w:rPr>
          <w:rFonts w:hint="eastAsia" w:ascii="仿宋_GB2312" w:hAnsi="仿宋_GB2312" w:eastAsia="仿宋_GB2312" w:cs="仿宋_GB2312"/>
          <w:spacing w:val="10"/>
          <w:sz w:val="32"/>
          <w:szCs w:val="32"/>
        </w:rPr>
        <w:t>日。</w:t>
      </w:r>
      <w:r>
        <w:rPr>
          <w:rFonts w:hint="eastAsia" w:ascii="仿宋_GB2312" w:hAnsi="仿宋_GB2312" w:eastAsia="仿宋_GB2312" w:cs="仿宋_GB2312"/>
          <w:spacing w:val="10"/>
          <w:sz w:val="32"/>
          <w:szCs w:val="32"/>
          <w:lang w:val="en-US" w:eastAsia="zh-CN"/>
        </w:rPr>
        <w:t>各部门、单位</w:t>
      </w:r>
      <w:r>
        <w:rPr>
          <w:rFonts w:hint="eastAsia" w:ascii="仿宋_GB2312" w:hAnsi="仿宋_GB2312" w:eastAsia="仿宋_GB2312" w:cs="仿宋_GB2312"/>
          <w:spacing w:val="10"/>
          <w:sz w:val="32"/>
          <w:szCs w:val="32"/>
        </w:rPr>
        <w:t>每类作品推荐不超过2件。</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lang w:val="en-US" w:eastAsia="zh-CN"/>
        </w:rPr>
        <w:t>宣传部、学生工作处、信息技术中心将</w:t>
      </w:r>
      <w:r>
        <w:rPr>
          <w:rFonts w:hint="eastAsia" w:ascii="仿宋_GB2312" w:hAnsi="仿宋_GB2312" w:eastAsia="仿宋_GB2312" w:cs="仿宋_GB2312"/>
          <w:spacing w:val="10"/>
          <w:sz w:val="32"/>
          <w:szCs w:val="32"/>
        </w:rPr>
        <w:t>组织专家对各推荐作品进行评选，并择优上报参加</w:t>
      </w:r>
      <w:r>
        <w:rPr>
          <w:rFonts w:hint="eastAsia" w:ascii="仿宋_GB2312" w:hAnsi="仿宋_GB2312" w:eastAsia="仿宋_GB2312" w:cs="仿宋_GB2312"/>
          <w:spacing w:val="10"/>
          <w:sz w:val="32"/>
          <w:szCs w:val="32"/>
          <w:lang w:val="en-US" w:eastAsia="zh-CN"/>
        </w:rPr>
        <w:t>省级</w:t>
      </w:r>
      <w:r>
        <w:rPr>
          <w:rFonts w:hint="eastAsia" w:ascii="仿宋_GB2312" w:hAnsi="仿宋_GB2312" w:eastAsia="仿宋_GB2312" w:cs="仿宋_GB2312"/>
          <w:spacing w:val="10"/>
          <w:sz w:val="32"/>
          <w:szCs w:val="32"/>
        </w:rPr>
        <w:t>评选活动。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leftChars="0" w:firstLine="664" w:firstLineChars="200"/>
        <w:textAlignment w:val="baseline"/>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六、作品要求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firstLine="680" w:firstLineChars="200"/>
        <w:textAlignment w:val="baseline"/>
        <w:rPr>
          <w:rFonts w:hint="eastAsia" w:ascii="仿宋_GB2312" w:hAnsi="仿宋_GB2312" w:eastAsia="仿宋_GB2312" w:cs="仿宋_GB2312"/>
          <w:spacing w:val="10"/>
          <w:sz w:val="32"/>
          <w:szCs w:val="32"/>
        </w:rPr>
      </w:pPr>
      <w:r>
        <w:rPr>
          <w:rFonts w:hint="eastAsia" w:ascii="仿宋_GB2312" w:hAnsi="仿宋_GB2312" w:eastAsia="仿宋_GB2312" w:cs="仿宋_GB2312"/>
          <w:snapToGrid w:val="0"/>
          <w:color w:val="000000"/>
          <w:spacing w:val="10"/>
          <w:kern w:val="0"/>
          <w:sz w:val="32"/>
          <w:szCs w:val="32"/>
          <w:lang w:val="en-US" w:eastAsia="en-US" w:bidi="ar-SA"/>
        </w:rPr>
        <w:t>（一）</w:t>
      </w:r>
      <w:r>
        <w:rPr>
          <w:rFonts w:hint="eastAsia" w:ascii="仿宋_GB2312" w:hAnsi="仿宋_GB2312" w:eastAsia="仿宋_GB2312" w:cs="仿宋_GB2312"/>
          <w:spacing w:val="10"/>
          <w:sz w:val="32"/>
          <w:szCs w:val="32"/>
        </w:rPr>
        <w:t>大学生网络文化节</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1.微视频作品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类型分为纪实纪录、卡通动漫、创新创意三类征集。文件格式为MP4，画面清晰，声音清楚，内容配字幕，时长不超过5分钟（超出时长将取消参评资格）。为保证作品上传顺畅，文件建议不超过600MB。每件作品作者限6人以内，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2.微电影作品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类型分为剧情类和综合类（不含动漫），须为原创。文件为AVI、MOV、MP4格式的原始作品，分辨率不小于1920pxx1080px。时长原则上在10分钟以内，适合互联网传播。要求画面清晰，声音清楚，提倡标注字幕。每件作品作者限6人以内，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3.动漫作品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类型分为漫画作品和动画短片两类。漫画作品为四格漫画（以四个画面分格来完成一个小故事或一个创意的表现形式）或单幅插画，画稿为基于A4尺寸（210mmx297mm）纸张创作的作品，画稿四周保留各2cm空白，要求画面清晰、标明页数；基于计算机或移动设备的新媒体作品，应符合手机动漫行业标准等规范。提交电子图片格式要求为JPEG，色彩模式RGB，分辨率100DPI（作品入选后需另外提交TIFF文件）。阅读顺序可根据个人习惯选择从左到右或从右到左，需要在作品首页注明。动画短片须为 AVI、MOV、MP4格式的原始作品，分辨率不小于1920pxx1080px，时长原则上在10分钟以内。每件作品作者限6人以内，可配1名指导教师。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4.摄影作品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按时代风貌、校园风采、社会纪实、创意摄影4个类别征集，单张或系列作品均可。系列作品视为1件作品，不超过6张.以图片文件提交，格式为标准，保留格式信息。每件作品作者限1人可配1名指导教师。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5.网文作品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从青春梦想、时事评论、艺术文化、社会实践等角度，作品类别分为网络文章和网络文学作品。字数不超过5000字，可在文章中配图、表。每件作品作者限1人，可配1名指导教师。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6.公益广告作品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类型分为平面广告和视频广告两类，要求内容导向鲜明、富有内涵、鼓舞人心。平面广告含报纸杂志广告、海报设计、漫画等，提交图片文件，格式为JPEG，色彩模式RGB，单幅图片大小在10M以内，系列作品不超过3幅。视频广告含微视频、微电影、动画片等，提交视频文件，格式为MP4，画面清晰，声音清楚，重点内容配字幕，时长小于5分钟，文件小于200M。每件作品作者限6人以内，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7.音频作品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体裁不限，诗词、散文、故事等音频诵读作品或创意音频节目均可（不包含歌曲），鼓励原创。作品统一采用MP3格式，时长不超过5分钟（超过时长将取消参评资格），另须以Word形式提交音频文字。每件作品创作者限5人以内，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8.校园歌曲作品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类型分为原创歌曲和改编歌曲两类。原创歌曲指完全自主作词作曲的音乐作品，或借鉴部分（不超过八小节）现成作品的音乐元素创作的音乐作品；改编歌曲指在某歌曲作品首发表演形式的基础上进行改编和创新的二度创作作品。所有作品可制作成微视频展示，利用互联网音乐或微视频平台增加网络人气，扩大影响力（详见易班网说明）。其中，原创歌曲要在易班网上传完整的音频或视频、歌词和曲谱。每件作品作者限3人以内，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9.其他类网络创新作品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类型分为长图、H5页面、微信推文三类。作品提交图片文件，格式为JPEG，文件小于10MB。每件作品作者限5人以内，可配1名指导教师。</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所有申报作品根据实际需要，提供必要的佐证作品影响力的材料，包括阅读量、点赞量、收藏量、转发量及引用率、主流媒体转播情况、获奖情况、成果鉴定、专家推荐信等，材料严禁作假，一经发现，即取消推荐资格。作品选题可参考《第七届全国大学生网络文化节作品创作选题指南》（附件1）。</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firstLine="680" w:firstLineChars="200"/>
        <w:textAlignment w:val="baseline"/>
        <w:rPr>
          <w:rFonts w:hint="eastAsia" w:ascii="仿宋_GB2312" w:hAnsi="仿宋_GB2312" w:eastAsia="仿宋_GB2312" w:cs="仿宋_GB2312"/>
          <w:spacing w:val="10"/>
          <w:sz w:val="32"/>
          <w:szCs w:val="32"/>
        </w:rPr>
      </w:pPr>
      <w:r>
        <w:rPr>
          <w:rFonts w:hint="eastAsia" w:ascii="仿宋_GB2312" w:hAnsi="仿宋_GB2312" w:eastAsia="仿宋_GB2312" w:cs="仿宋_GB2312"/>
          <w:snapToGrid w:val="0"/>
          <w:color w:val="000000"/>
          <w:spacing w:val="10"/>
          <w:kern w:val="0"/>
          <w:sz w:val="32"/>
          <w:szCs w:val="32"/>
          <w:lang w:val="en-US" w:eastAsia="en-US" w:bidi="ar-SA"/>
        </w:rPr>
        <w:t>（</w:t>
      </w:r>
      <w:r>
        <w:rPr>
          <w:rFonts w:hint="eastAsia" w:ascii="仿宋_GB2312" w:hAnsi="仿宋_GB2312" w:eastAsia="仿宋_GB2312" w:cs="仿宋_GB2312"/>
          <w:snapToGrid w:val="0"/>
          <w:color w:val="000000"/>
          <w:spacing w:val="10"/>
          <w:kern w:val="0"/>
          <w:sz w:val="32"/>
          <w:szCs w:val="32"/>
          <w:lang w:val="en-US" w:eastAsia="zh-CN" w:bidi="ar-SA"/>
        </w:rPr>
        <w:t>二</w:t>
      </w:r>
      <w:r>
        <w:rPr>
          <w:rFonts w:hint="eastAsia" w:ascii="仿宋_GB2312" w:hAnsi="仿宋_GB2312" w:eastAsia="仿宋_GB2312" w:cs="仿宋_GB2312"/>
          <w:snapToGrid w:val="0"/>
          <w:color w:val="000000"/>
          <w:spacing w:val="10"/>
          <w:kern w:val="0"/>
          <w:sz w:val="32"/>
          <w:szCs w:val="32"/>
          <w:lang w:val="en-US" w:eastAsia="en-US" w:bidi="ar-SA"/>
        </w:rPr>
        <w:t>）</w:t>
      </w:r>
      <w:r>
        <w:rPr>
          <w:rFonts w:hint="eastAsia" w:ascii="仿宋_GB2312" w:hAnsi="仿宋_GB2312" w:eastAsia="仿宋_GB2312" w:cs="仿宋_GB2312"/>
          <w:spacing w:val="10"/>
          <w:sz w:val="32"/>
          <w:szCs w:val="32"/>
        </w:rPr>
        <w:t>高校网络教育优秀作品推选展示活动</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1.优秀网络文章</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须面向大学生创作，体裁不限，要体现价值引导、思想引领，内容观点正确、立场鲜明，育人功能凸显，紧扣高校思想政治工作重点难点问题，以理服人、以情感人，对广大学生有较强的吸引力、感染力和教育意义。鼓励网络首发，有较高的转发、评论和引用量。每件作品作者限1人，且必须为文章第一作者。</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2.优秀工作案例</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可围绕个人或团队（高校网络思政工作室、理论社团心理咨询室、创新创业工作室等）在创新网络思想政治工作提升师生网络素养、开展网络文化建设、推进网络文明教育、营造清朗网络空间工作过程中探索施行的好经验、好做法及维护运行的平台及栏目，或在开展学生工作中利用网络对遇到的热点、难点、重点、突发事件等进行释疑解惑和深度辅导过程中形成的好经验、好做法进行撰写，并在此基础上进行剖析、总结、提炼形成的新对策新经验。案例需已形成一定的典型性经验，有固定工作平台、可靠条件保障、长效工作机制和明显育人实效，可示范、可复制、可推广。</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案例内容应包括项目主题和思路、实施方法和过程、主要成效和经验、下一步加强和改进的计划等，要求文字简洁、重点突出，字数3000字以上，可配说明图片和视频。每件作品作者限3人以内</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3.优秀微课</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应围绕日常工作实践或学习教育中的常见、典型、有代表性的场景、要点或环节进行课堂设计，能够有效解决思政工作中的重点、难点、疑点问题。作品要贴近师生思想、学习、工作和生活实际，在思想融入、情景设计、表达演绎、拍摄制作等方面具有较高的水平。标题简洁，目标明确，有个性和特色，作品片长不超过15分钟；画质清晰，声音清楚，提倡标注字幕。每件作品作者限3人以内。</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4.优秀新媒体作品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高校运用新媒体手段进行的宣传报道、经验分享及成果展示等，在网络上有较大影响力，有较高的转发、评论和引用量，体现高校在思想政治工作中的创新方式方法。作品包括短视频、微电影、公益广告、校园MV、音频、H5作品、图解、漫画、长图及动图等。</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视频类作品，片长不超过10分钟，文件格式为 MP4，画质清晰，声音清楚，提倡标注字幕。图解类、长图类、漫画类作品，提交图片文件，JPEG格式。动图类作品，提交图片文件，GIF格式。H5页面类作品，提交网络链接。音频类作品，时长不超过5分钟，格式统一为MP3，以Word形式提供音频文字，保证音质清晰流畅，有听觉美感，可根据需要配音效或进行其他后期制作。每件作品作者限6人以内。</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所有申报作品根据实际需要，提供必要的佐证作品影响力的材料，包括阅读量、点赞量、收藏量、转发量及引用率、主流媒体转播情况、获奖情况、成果鉴定、专家推荐信等，材料严禁作假，一经发现，即取消推荐资格。作品选题可参考《第七届全国高校网络教育优秀作品推选展示活动作品创作选题指南》（附件2）。</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0" w:leftChars="0" w:firstLine="664" w:firstLineChars="200"/>
        <w:textAlignment w:val="baseline"/>
        <w:rPr>
          <w:rFonts w:hint="eastAsia" w:ascii="黑体" w:hAnsi="黑体" w:eastAsia="黑体" w:cs="黑体"/>
          <w:spacing w:val="6"/>
          <w:sz w:val="32"/>
          <w:szCs w:val="32"/>
        </w:rPr>
      </w:pPr>
      <w:r>
        <w:rPr>
          <w:rFonts w:hint="eastAsia" w:ascii="黑体" w:hAnsi="黑体" w:eastAsia="黑体" w:cs="黑体"/>
          <w:snapToGrid w:val="0"/>
          <w:color w:val="000000"/>
          <w:spacing w:val="6"/>
          <w:kern w:val="0"/>
          <w:sz w:val="32"/>
          <w:szCs w:val="32"/>
          <w:lang w:val="en-US" w:eastAsia="en-US" w:bidi="ar-SA"/>
        </w:rPr>
        <w:t>七、</w:t>
      </w:r>
      <w:r>
        <w:rPr>
          <w:rFonts w:hint="eastAsia" w:ascii="黑体" w:hAnsi="黑体" w:eastAsia="黑体" w:cs="黑体"/>
          <w:spacing w:val="6"/>
          <w:sz w:val="32"/>
          <w:szCs w:val="32"/>
        </w:rPr>
        <w:t>材料报送</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1.同一作品只能参加全国大学生网络文化节、全国高校网络教育优秀作品推选展示活动其中一项。</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2"/>
          <w:sz w:val="32"/>
          <w:szCs w:val="32"/>
          <w:lang w:val="en-US" w:eastAsia="zh-CN"/>
        </w:rPr>
        <w:t>2.</w:t>
      </w:r>
      <w:r>
        <w:rPr>
          <w:rFonts w:hint="eastAsia" w:ascii="仿宋_GB2312" w:hAnsi="仿宋_GB2312" w:eastAsia="仿宋_GB2312" w:cs="仿宋_GB2312"/>
          <w:spacing w:val="-12"/>
          <w:sz w:val="32"/>
          <w:szCs w:val="32"/>
        </w:rPr>
        <w:t>请各</w:t>
      </w:r>
      <w:r>
        <w:rPr>
          <w:rFonts w:hint="eastAsia" w:ascii="仿宋_GB2312" w:hAnsi="仿宋_GB2312" w:eastAsia="仿宋_GB2312" w:cs="仿宋_GB2312"/>
          <w:spacing w:val="-12"/>
          <w:sz w:val="32"/>
          <w:szCs w:val="32"/>
          <w:lang w:val="en-US" w:eastAsia="zh-CN"/>
        </w:rPr>
        <w:t>部门、单位</w:t>
      </w:r>
      <w:r>
        <w:rPr>
          <w:rFonts w:hint="eastAsia" w:ascii="仿宋_GB2312" w:hAnsi="仿宋_GB2312" w:eastAsia="仿宋_GB2312" w:cs="仿宋_GB2312"/>
          <w:spacing w:val="10"/>
          <w:sz w:val="32"/>
          <w:szCs w:val="32"/>
          <w:lang w:val="en-US" w:eastAsia="zh-CN"/>
        </w:rPr>
        <w:t>于12月28日（星期四）上午11:00前报送相关材料。</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3.大学生网络文化节作品需提交电子版作品材料，作品文件夹请标注“大学生网络文化节+作品类别+推荐单位”；填写《第七届全国大学生网络文化节作品征集信息表》（附件3）和《第七届全国大学生网络文化节作品征集汇总表》（附件4），加盖推荐部门、单位公章，将电子版和纸质版表格同时报学生工作处联系人。</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高校网络教育优秀作品需提供电子版作品材料，作品文件夹请标注“高校网络教育优秀作品+作品类别+推荐单位”；填写《第七届全国高校网络教育优秀作品推选展示活动作品征集信息表》（附件5）和《第七届全国高校网络教育优秀作品推选展示活动作品征集汇总表》（附件6），加盖推荐单位公章，将电子版和纸质版表格同时报信宣传部联系人。</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宣传部联系人：蒲丽娜     联系电话：3616061</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640"/>
        <w:jc w:val="both"/>
        <w:textAlignment w:val="baseline"/>
        <w:rPr>
          <w:rFonts w:hint="default"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 xml:space="preserve">学生工作处联系人：高嘉宇 联系电话：3616070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2051" w:leftChars="329" w:hanging="1360" w:hangingChars="400"/>
        <w:jc w:val="left"/>
        <w:textAlignment w:val="baseline"/>
        <w:rPr>
          <w:rFonts w:hint="eastAsia" w:ascii="仿宋_GB2312" w:hAnsi="仿宋_GB2312" w:eastAsia="仿宋_GB2312" w:cs="仿宋_GB2312"/>
          <w:spacing w:val="10"/>
          <w:kern w:val="2"/>
          <w:sz w:val="32"/>
          <w:szCs w:val="32"/>
          <w:lang w:val="en-US" w:eastAsia="zh-CN" w:bidi="ar-SA"/>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2051" w:leftChars="329" w:hanging="1360" w:hangingChars="400"/>
        <w:jc w:val="left"/>
        <w:textAlignment w:val="baseline"/>
        <w:rPr>
          <w:rFonts w:hint="eastAsia" w:ascii="仿宋_GB2312" w:hAnsi="仿宋_GB2312" w:eastAsia="仿宋_GB2312" w:cs="仿宋_GB2312"/>
          <w:spacing w:val="10"/>
          <w:sz w:val="32"/>
          <w:szCs w:val="32"/>
          <w:lang w:val="en-US" w:eastAsia="zh-CN"/>
        </w:rPr>
      </w:pPr>
      <w:bookmarkStart w:id="0" w:name="_GoBack"/>
      <w:bookmarkEnd w:id="0"/>
      <w:r>
        <w:rPr>
          <w:rFonts w:hint="eastAsia" w:ascii="仿宋_GB2312" w:hAnsi="仿宋_GB2312" w:eastAsia="仿宋_GB2312" w:cs="仿宋_GB2312"/>
          <w:spacing w:val="10"/>
          <w:kern w:val="2"/>
          <w:sz w:val="32"/>
          <w:szCs w:val="32"/>
          <w:lang w:val="en-US" w:eastAsia="zh-CN" w:bidi="ar-SA"/>
        </w:rPr>
        <w:t>附件：</w:t>
      </w:r>
      <w:r>
        <w:rPr>
          <w:rFonts w:hint="eastAsia" w:ascii="仿宋_GB2312" w:hAnsi="仿宋_GB2312" w:eastAsia="仿宋_GB2312" w:cs="仿宋_GB2312"/>
          <w:spacing w:val="10"/>
          <w:sz w:val="32"/>
          <w:szCs w:val="32"/>
          <w:lang w:val="en-US" w:eastAsia="zh-CN"/>
        </w:rPr>
        <w:t>1.</w:t>
      </w:r>
      <w:r>
        <w:rPr>
          <w:rFonts w:hint="eastAsia" w:ascii="仿宋_GB2312" w:hAnsi="仿宋_GB2312" w:eastAsia="仿宋_GB2312" w:cs="仿宋_GB2312"/>
          <w:spacing w:val="10"/>
          <w:sz w:val="32"/>
          <w:szCs w:val="32"/>
          <w:lang w:val="en-US" w:eastAsia="zh-CN"/>
        </w:rPr>
        <w:t>第七届全国大学生网络文化节作品创作选题指南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1988" w:leftChars="785" w:hanging="340" w:hangingChars="100"/>
        <w:jc w:val="left"/>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2.第七届全国高校网络教育优秀作品推选展示活动作品创作选题指南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1988" w:leftChars="785" w:hanging="340" w:hangingChars="100"/>
        <w:jc w:val="left"/>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3.第七届全国大学生网络文化节作品征集信息表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1988" w:leftChars="785" w:hanging="340" w:hangingChars="100"/>
        <w:jc w:val="left"/>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4.第七届全国大学生网络文化节作品征集汇总表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1988" w:leftChars="785" w:hanging="340" w:hangingChars="100"/>
        <w:jc w:val="left"/>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5.第七届全国高校网络教育优秀作品推选展示活动作品征集信息表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40" w:lineRule="exact"/>
        <w:ind w:left="1988" w:leftChars="785" w:hanging="340" w:hangingChars="100"/>
        <w:jc w:val="left"/>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6.第七届全国高校网络教育优秀作品推选展示活动作品征集汇总表</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jc w:val="lef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40" w:lineRule="exact"/>
        <w:ind w:left="0"/>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40" w:lineRule="exact"/>
        <w:ind w:left="0"/>
        <w:textAlignment w:val="baseline"/>
        <w:rPr>
          <w:rFonts w:hint="eastAsia" w:ascii="仿宋_GB2312" w:hAnsi="仿宋_GB2312" w:eastAsia="仿宋_GB2312" w:cs="仿宋_GB2312"/>
          <w:sz w:val="32"/>
          <w:szCs w:val="32"/>
        </w:rPr>
      </w:pP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right="0" w:firstLine="2720" w:firstLineChars="800"/>
        <w:jc w:val="both"/>
        <w:textAlignment w:val="baseline"/>
        <w:rPr>
          <w:rFonts w:hint="default"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宣传部  学生工作处  信息技术中心</w:t>
      </w:r>
    </w:p>
    <w:p>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0" w:right="0" w:firstLine="4426" w:firstLineChars="1302"/>
        <w:jc w:val="both"/>
        <w:textAlignment w:val="baseline"/>
        <w:rPr>
          <w:rFonts w:hint="eastAsia"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0"/>
          <w:sz w:val="32"/>
          <w:szCs w:val="32"/>
          <w:lang w:val="en-US" w:eastAsia="zh-CN"/>
        </w:rPr>
        <w:t>2023年12月15日</w:t>
      </w:r>
    </w:p>
    <w:p>
      <w:pPr>
        <w:keepNext w:val="0"/>
        <w:keepLines w:val="0"/>
        <w:pageBreakBefore w:val="0"/>
        <w:widowControl/>
        <w:kinsoku w:val="0"/>
        <w:wordWrap/>
        <w:overflowPunct/>
        <w:topLinePunct w:val="0"/>
        <w:autoSpaceDE w:val="0"/>
        <w:autoSpaceDN w:val="0"/>
        <w:bidi w:val="0"/>
        <w:adjustRightInd w:val="0"/>
        <w:snapToGrid w:val="0"/>
        <w:spacing w:line="540" w:lineRule="exact"/>
        <w:textAlignment w:val="baseline"/>
        <w:rPr>
          <w:rFonts w:hint="eastAsia" w:ascii="仿宋_GB2312" w:hAnsi="仿宋_GB2312" w:eastAsia="仿宋_GB2312" w:cs="仿宋_GB2312"/>
          <w:sz w:val="32"/>
          <w:szCs w:val="32"/>
        </w:rPr>
        <w:sectPr>
          <w:footerReference r:id="rId5" w:type="default"/>
          <w:pgSz w:w="11907" w:h="16839"/>
          <w:pgMar w:top="1431" w:right="1437" w:bottom="1783" w:left="1785" w:header="0" w:footer="1533" w:gutter="0"/>
          <w:pgNumType w:fmt="decimal"/>
          <w:cols w:space="720" w:num="1"/>
        </w:sectPr>
      </w:pPr>
    </w:p>
    <w:p>
      <w:pPr>
        <w:spacing w:line="16389" w:lineRule="exact"/>
      </w:pPr>
      <w:r>
        <w:rPr>
          <w:position w:val="-328"/>
        </w:rPr>
        <w:drawing>
          <wp:inline distT="0" distB="0" distL="0" distR="0">
            <wp:extent cx="7296150" cy="10419080"/>
            <wp:effectExtent l="0" t="0" r="0" b="127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9"/>
                    <a:stretch>
                      <a:fillRect/>
                    </a:stretch>
                  </pic:blipFill>
                  <pic:spPr>
                    <a:xfrm>
                      <a:off x="0" y="0"/>
                      <a:ext cx="7296784" cy="10419233"/>
                    </a:xfrm>
                    <a:prstGeom prst="rect">
                      <a:avLst/>
                    </a:prstGeom>
                  </pic:spPr>
                </pic:pic>
              </a:graphicData>
            </a:graphic>
          </wp:inline>
        </w:drawing>
      </w:r>
    </w:p>
    <w:p>
      <w:pPr>
        <w:spacing w:line="16389" w:lineRule="exact"/>
        <w:sectPr>
          <w:headerReference r:id="rId6" w:type="default"/>
          <w:footerReference r:id="rId7" w:type="default"/>
          <w:pgSz w:w="11486" w:h="16403"/>
          <w:pgMar w:top="1" w:right="0" w:bottom="1" w:left="0" w:header="0" w:footer="0" w:gutter="0"/>
          <w:pgNumType w:fmt="decimal"/>
          <w:cols w:space="720" w:num="1"/>
        </w:sectPr>
      </w:pPr>
    </w:p>
    <w:p>
      <w:pPr>
        <w:spacing w:line="16528" w:lineRule="exact"/>
      </w:pPr>
      <w:r>
        <w:rPr>
          <w:position w:val="-328"/>
        </w:rPr>
        <w:drawing>
          <wp:inline distT="0" distB="0" distL="0" distR="0">
            <wp:extent cx="7204710" cy="10440035"/>
            <wp:effectExtent l="0" t="0" r="15240" b="18415"/>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0"/>
                    <a:stretch>
                      <a:fillRect/>
                    </a:stretch>
                  </pic:blipFill>
                  <pic:spPr>
                    <a:xfrm>
                      <a:off x="0" y="0"/>
                      <a:ext cx="7205344" cy="10440188"/>
                    </a:xfrm>
                    <a:prstGeom prst="rect">
                      <a:avLst/>
                    </a:prstGeom>
                  </pic:spPr>
                </pic:pic>
              </a:graphicData>
            </a:graphic>
          </wp:inline>
        </w:drawing>
      </w:r>
    </w:p>
    <w:p>
      <w:pPr>
        <w:spacing w:line="16528" w:lineRule="exact"/>
        <w:sectPr>
          <w:pgSz w:w="11467" w:h="16541"/>
          <w:pgMar w:top="1" w:right="0" w:bottom="1" w:left="0" w:header="0" w:footer="0" w:gutter="0"/>
          <w:pgNumType w:fmt="decimal"/>
          <w:cols w:space="720" w:num="1"/>
        </w:sectPr>
      </w:pPr>
    </w:p>
    <w:p>
      <w:pPr>
        <w:spacing w:line="16408" w:lineRule="exact"/>
      </w:pPr>
      <w:r>
        <w:rPr>
          <w:position w:val="-328"/>
        </w:rPr>
        <w:drawing>
          <wp:inline distT="0" distB="0" distL="0" distR="0">
            <wp:extent cx="7296150" cy="10431145"/>
            <wp:effectExtent l="0" t="0" r="0" b="8255"/>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
                    <a:stretch>
                      <a:fillRect/>
                    </a:stretch>
                  </pic:blipFill>
                  <pic:spPr>
                    <a:xfrm>
                      <a:off x="0" y="0"/>
                      <a:ext cx="7296784" cy="10431298"/>
                    </a:xfrm>
                    <a:prstGeom prst="rect">
                      <a:avLst/>
                    </a:prstGeom>
                  </pic:spPr>
                </pic:pic>
              </a:graphicData>
            </a:graphic>
          </wp:inline>
        </w:drawing>
      </w:r>
    </w:p>
    <w:p>
      <w:pPr>
        <w:spacing w:line="16408" w:lineRule="exact"/>
        <w:sectPr>
          <w:pgSz w:w="11472" w:h="16421"/>
          <w:pgMar w:top="1" w:right="0" w:bottom="1" w:left="0" w:header="0" w:footer="0" w:gutter="0"/>
          <w:pgNumType w:fmt="decimal"/>
          <w:cols w:space="720" w:num="1"/>
        </w:sectPr>
      </w:pPr>
    </w:p>
    <w:p>
      <w:pPr>
        <w:spacing w:line="16528" w:lineRule="exact"/>
      </w:pPr>
      <w:r>
        <w:rPr>
          <w:position w:val="-328"/>
        </w:rPr>
        <w:drawing>
          <wp:inline distT="0" distB="0" distL="0" distR="0">
            <wp:extent cx="7193280" cy="10443210"/>
            <wp:effectExtent l="0" t="0" r="7620" b="1524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2"/>
                    <a:stretch>
                      <a:fillRect/>
                    </a:stretch>
                  </pic:blipFill>
                  <pic:spPr>
                    <a:xfrm>
                      <a:off x="0" y="0"/>
                      <a:ext cx="7193280" cy="10443363"/>
                    </a:xfrm>
                    <a:prstGeom prst="rect">
                      <a:avLst/>
                    </a:prstGeom>
                  </pic:spPr>
                </pic:pic>
              </a:graphicData>
            </a:graphic>
          </wp:inline>
        </w:drawing>
      </w:r>
      <w:r>
        <w:rPr>
          <w:position w:val="-328"/>
        </w:rPr>
        <w:drawing>
          <wp:inline distT="0" distB="0" distL="0" distR="0">
            <wp:extent cx="7193280" cy="10419080"/>
            <wp:effectExtent l="0" t="0" r="7620" b="1270"/>
            <wp:docPr id="48" name="IM 48" descr="C:/Users/LENOVO/Desktop/图片1.png图片1"/>
            <wp:cNvGraphicFramePr/>
            <a:graphic xmlns:a="http://schemas.openxmlformats.org/drawingml/2006/main">
              <a:graphicData uri="http://schemas.openxmlformats.org/drawingml/2006/picture">
                <pic:pic xmlns:pic="http://schemas.openxmlformats.org/drawingml/2006/picture">
                  <pic:nvPicPr>
                    <pic:cNvPr id="48" name="IM 48" descr="C:/Users/LENOVO/Desktop/图片1.png图片1"/>
                    <pic:cNvPicPr/>
                  </pic:nvPicPr>
                  <pic:blipFill>
                    <a:blip r:embed="rId13"/>
                    <a:srcRect l="3" r="3"/>
                    <a:stretch>
                      <a:fillRect/>
                    </a:stretch>
                  </pic:blipFill>
                  <pic:spPr>
                    <a:xfrm>
                      <a:off x="0" y="0"/>
                      <a:ext cx="7193280" cy="10419080"/>
                    </a:xfrm>
                    <a:prstGeom prst="rect">
                      <a:avLst/>
                    </a:prstGeom>
                  </pic:spPr>
                </pic:pic>
              </a:graphicData>
            </a:graphic>
          </wp:inline>
        </w:drawing>
      </w:r>
    </w:p>
    <w:p>
      <w:pPr>
        <w:spacing w:line="16528" w:lineRule="exact"/>
        <w:sectPr>
          <w:pgSz w:w="11467" w:h="16541"/>
          <w:pgMar w:top="1" w:right="0" w:bottom="1" w:left="0" w:header="0" w:footer="0" w:gutter="0"/>
          <w:pgNumType w:fmt="decimal"/>
          <w:cols w:space="720" w:num="1"/>
        </w:sectPr>
      </w:pPr>
    </w:p>
    <w:p>
      <w:pPr>
        <w:spacing w:line="16408" w:lineRule="exact"/>
      </w:pPr>
      <w:r>
        <w:rPr>
          <w:position w:val="-327"/>
        </w:rPr>
        <w:drawing>
          <wp:inline distT="0" distB="0" distL="0" distR="0">
            <wp:extent cx="7292975" cy="10409555"/>
            <wp:effectExtent l="0" t="0" r="3175" b="10795"/>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4"/>
                    <a:stretch>
                      <a:fillRect/>
                    </a:stretch>
                  </pic:blipFill>
                  <pic:spPr>
                    <a:xfrm>
                      <a:off x="0" y="0"/>
                      <a:ext cx="7293609" cy="10409708"/>
                    </a:xfrm>
                    <a:prstGeom prst="rect">
                      <a:avLst/>
                    </a:prstGeom>
                  </pic:spPr>
                </pic:pic>
              </a:graphicData>
            </a:graphic>
          </wp:inline>
        </w:drawing>
      </w:r>
    </w:p>
    <w:p>
      <w:pPr>
        <w:spacing w:line="16408" w:lineRule="exact"/>
        <w:sectPr>
          <w:pgSz w:w="11491" w:h="16421"/>
          <w:pgMar w:top="1" w:right="0" w:bottom="1" w:left="0" w:header="0" w:footer="0" w:gutter="0"/>
          <w:pgNumType w:fmt="decimal"/>
          <w:cols w:space="720" w:num="1"/>
        </w:sectPr>
      </w:pPr>
    </w:p>
    <w:p>
      <w:pPr>
        <w:spacing w:line="16441" w:lineRule="exact"/>
      </w:pPr>
      <w:r>
        <w:rPr>
          <w:position w:val="-328"/>
        </w:rPr>
        <w:drawing>
          <wp:inline distT="0" distB="0" distL="0" distR="0">
            <wp:extent cx="7181215" cy="10419080"/>
            <wp:effectExtent l="0" t="0" r="635" b="127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5"/>
                    <a:stretch>
                      <a:fillRect/>
                    </a:stretch>
                  </pic:blipFill>
                  <pic:spPr>
                    <a:xfrm>
                      <a:off x="0" y="0"/>
                      <a:ext cx="7181215" cy="10419233"/>
                    </a:xfrm>
                    <a:prstGeom prst="rect">
                      <a:avLst/>
                    </a:prstGeom>
                  </pic:spPr>
                </pic:pic>
              </a:graphicData>
            </a:graphic>
          </wp:inline>
        </w:drawing>
      </w:r>
    </w:p>
    <w:p>
      <w:pPr>
        <w:spacing w:line="16441" w:lineRule="exact"/>
        <w:sectPr>
          <w:pgSz w:w="11347" w:h="16455"/>
          <w:pgMar w:top="1" w:right="0" w:bottom="1" w:left="0" w:header="0" w:footer="0" w:gutter="0"/>
          <w:pgNumType w:fmt="decimal"/>
          <w:cols w:space="720" w:num="1"/>
        </w:sectPr>
      </w:pPr>
    </w:p>
    <w:p>
      <w:pPr>
        <w:spacing w:line="16427" w:lineRule="exact"/>
        <w:sectPr>
          <w:pgSz w:w="11310" w:h="16440"/>
          <w:pgMar w:top="1" w:right="0" w:bottom="1" w:left="0" w:header="0" w:footer="0" w:gutter="0"/>
          <w:pgNumType w:fmt="decimal"/>
          <w:cols w:space="720" w:num="1"/>
        </w:sectPr>
      </w:pPr>
      <w:r>
        <w:rPr>
          <w:position w:val="-328"/>
        </w:rPr>
        <w:drawing>
          <wp:inline distT="0" distB="0" distL="0" distR="0">
            <wp:extent cx="7284085" cy="10419080"/>
            <wp:effectExtent l="0" t="0" r="12065" b="127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6"/>
                    <a:stretch>
                      <a:fillRect/>
                    </a:stretch>
                  </pic:blipFill>
                  <pic:spPr>
                    <a:xfrm>
                      <a:off x="0" y="0"/>
                      <a:ext cx="7284719" cy="10419233"/>
                    </a:xfrm>
                    <a:prstGeom prst="rect">
                      <a:avLst/>
                    </a:prstGeom>
                  </pic:spPr>
                </pic:pic>
              </a:graphicData>
            </a:graphic>
          </wp:inline>
        </w:drawing>
      </w:r>
    </w:p>
    <w:p>
      <w:pPr>
        <w:pStyle w:val="2"/>
        <w:bidi w:val="0"/>
        <w:spacing w:before="0" w:after="0" w:line="240" w:lineRule="auto"/>
        <w:rPr>
          <w:rFonts w:hint="eastAsia" w:eastAsia="黑体"/>
          <w:lang w:val="en-US" w:eastAsia="zh-CN"/>
        </w:rPr>
      </w:pPr>
    </w:p>
    <w:sectPr>
      <w:pgSz w:w="11472" w:h="16421"/>
      <w:pgMar w:top="1" w:right="0" w:bottom="1" w:left="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7432"/>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jU1NTM2NWJkN2I1YTJiZWNlMzBkNTgyZDI4ZjYzY2UifQ=="/>
  </w:docVars>
  <w:rsids>
    <w:rsidRoot w:val="00000000"/>
    <w:rsid w:val="0B3B3E04"/>
    <w:rsid w:val="0C1017B1"/>
    <w:rsid w:val="17403A79"/>
    <w:rsid w:val="1CB735C0"/>
    <w:rsid w:val="25535DED"/>
    <w:rsid w:val="2920429C"/>
    <w:rsid w:val="30F869E5"/>
    <w:rsid w:val="4027293E"/>
    <w:rsid w:val="42A20858"/>
    <w:rsid w:val="4AEF2CB2"/>
    <w:rsid w:val="55D07BD6"/>
    <w:rsid w:val="601D60FF"/>
    <w:rsid w:val="62C76F5B"/>
    <w:rsid w:val="663E2F15"/>
    <w:rsid w:val="79983E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semiHidden/>
    <w:qFormat/>
    <w:uiPriority w:val="0"/>
    <w:rPr>
      <w:rFonts w:ascii="仿宋" w:hAnsi="仿宋" w:eastAsia="仿宋" w:cs="仿宋"/>
      <w:sz w:val="31"/>
      <w:szCs w:val="31"/>
      <w:lang w:val="en-US" w:eastAsia="en-US"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2023-12-12T10:20:00Z</dcterms:created>
  <dc:creator>文印2</dc:creator>
  <cp:lastModifiedBy>娜小娜</cp:lastModifiedBy>
  <dcterms:modified xsi:type="dcterms:W3CDTF">2023-12-18T07:46:51Z</dcterms:modified>
  <dc:title>山东省教育厅</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2023-12-14T09:08:55Z</vt:filetime>
  </property>
  <property fmtid="{D5CDD505-2E9C-101B-9397-08002B2CF9AE}" pid="4" name="KSOProductBuildVer">
    <vt:lpwstr>2052-12.1.0.16120</vt:lpwstr>
  </property>
  <property fmtid="{D5CDD505-2E9C-101B-9397-08002B2CF9AE}" pid="5" name="ICV">
    <vt:lpwstr>E8FBE704A20F41E2AFD1A86622FA5345_12</vt:lpwstr>
  </property>
</Properties>
</file>