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i w:val="0"/>
          <w:iCs w:val="0"/>
          <w:caps w:val="0"/>
          <w:color w:val="000000"/>
          <w:spacing w:val="0"/>
          <w:sz w:val="29"/>
          <w:szCs w:val="29"/>
          <w:shd w:val="clear" w:fill="FFFFFF"/>
        </w:rPr>
      </w:pPr>
      <w:r>
        <w:rPr>
          <w:rFonts w:hint="eastAsia" w:ascii="微软雅黑" w:hAnsi="微软雅黑" w:eastAsia="微软雅黑" w:cs="微软雅黑"/>
          <w:i w:val="0"/>
          <w:iCs w:val="0"/>
          <w:caps w:val="0"/>
          <w:color w:val="000000"/>
          <w:spacing w:val="0"/>
          <w:sz w:val="29"/>
          <w:szCs w:val="29"/>
          <w:shd w:val="clear" w:fill="FFFFFF"/>
        </w:rPr>
        <w:t>财政部 教育部关于印发《高等学校哲学社会科学繁荣计划专项资金管理办法》的通知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财教[2021]285号        2021-11-15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中央有关部门，国务院有关部委、有关直属机构，各省、自治区、直辖市、计划单列市财政厅(局)、教育厅(教委、教育局)，新疆生产建设兵团财政局、教育局：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根据党中央、国务院关于科研经费管理改革有关要求和《</w:t>
      </w:r>
      <w:r>
        <w:rPr>
          <w:rFonts w:hint="eastAsia" w:ascii="微软雅黑" w:hAnsi="微软雅黑" w:eastAsia="微软雅黑" w:cs="微软雅黑"/>
          <w:i w:val="0"/>
          <w:iCs w:val="0"/>
          <w:caps w:val="0"/>
          <w:color w:val="000000"/>
          <w:spacing w:val="0"/>
          <w:sz w:val="21"/>
          <w:szCs w:val="21"/>
          <w:shd w:val="clear" w:fill="FFFFFF"/>
        </w:rPr>
        <w:fldChar w:fldCharType="begin"/>
      </w:r>
      <w:r>
        <w:rPr>
          <w:rFonts w:hint="eastAsia" w:ascii="微软雅黑" w:hAnsi="微软雅黑" w:eastAsia="微软雅黑" w:cs="微软雅黑"/>
          <w:i w:val="0"/>
          <w:iCs w:val="0"/>
          <w:caps w:val="0"/>
          <w:color w:val="000000"/>
          <w:spacing w:val="0"/>
          <w:sz w:val="21"/>
          <w:szCs w:val="21"/>
          <w:shd w:val="clear" w:fill="FFFFFF"/>
        </w:rPr>
        <w:instrText xml:space="preserve"> HYPERLINK "https://www.shui5.cn/article/a7/141890.html" </w:instrText>
      </w:r>
      <w:r>
        <w:rPr>
          <w:rFonts w:hint="eastAsia" w:ascii="微软雅黑" w:hAnsi="微软雅黑" w:eastAsia="微软雅黑" w:cs="微软雅黑"/>
          <w:i w:val="0"/>
          <w:iCs w:val="0"/>
          <w:caps w:val="0"/>
          <w:color w:val="000000"/>
          <w:spacing w:val="0"/>
          <w:sz w:val="21"/>
          <w:szCs w:val="21"/>
          <w:shd w:val="clear" w:fill="FFFFFF"/>
        </w:rPr>
        <w:fldChar w:fldCharType="separate"/>
      </w:r>
      <w:r>
        <w:rPr>
          <w:rFonts w:hint="eastAsia" w:ascii="微软雅黑" w:hAnsi="微软雅黑" w:eastAsia="微软雅黑" w:cs="微软雅黑"/>
          <w:i w:val="0"/>
          <w:iCs w:val="0"/>
          <w:caps w:val="0"/>
          <w:color w:val="000000"/>
          <w:spacing w:val="0"/>
          <w:sz w:val="21"/>
          <w:szCs w:val="21"/>
          <w:shd w:val="clear" w:fill="FFFFFF"/>
        </w:rPr>
        <w:t>国务院办公厅关于改革完善中央财政科研经费管理的若干意见</w:t>
      </w:r>
      <w:r>
        <w:rPr>
          <w:rFonts w:hint="eastAsia" w:ascii="微软雅黑" w:hAnsi="微软雅黑" w:eastAsia="微软雅黑" w:cs="微软雅黑"/>
          <w:i w:val="0"/>
          <w:iCs w:val="0"/>
          <w:caps w:val="0"/>
          <w:color w:val="000000"/>
          <w:spacing w:val="0"/>
          <w:sz w:val="21"/>
          <w:szCs w:val="21"/>
          <w:shd w:val="clear" w:fill="FFFFFF"/>
        </w:rPr>
        <w:fldChar w:fldCharType="end"/>
      </w:r>
      <w:r>
        <w:rPr>
          <w:rFonts w:hint="eastAsia" w:ascii="微软雅黑" w:hAnsi="微软雅黑" w:eastAsia="微软雅黑" w:cs="微软雅黑"/>
          <w:i w:val="0"/>
          <w:iCs w:val="0"/>
          <w:caps w:val="0"/>
          <w:color w:val="000000"/>
          <w:spacing w:val="0"/>
          <w:sz w:val="21"/>
          <w:szCs w:val="21"/>
          <w:shd w:val="clear" w:fill="FFFFFF"/>
        </w:rPr>
        <w:t>》(</w:t>
      </w:r>
      <w:r>
        <w:rPr>
          <w:rFonts w:hint="eastAsia" w:ascii="微软雅黑" w:hAnsi="微软雅黑" w:eastAsia="微软雅黑" w:cs="微软雅黑"/>
          <w:i w:val="0"/>
          <w:iCs w:val="0"/>
          <w:caps w:val="0"/>
          <w:color w:val="000000"/>
          <w:spacing w:val="0"/>
          <w:sz w:val="21"/>
          <w:szCs w:val="21"/>
          <w:shd w:val="clear" w:fill="FFFFFF"/>
        </w:rPr>
        <w:fldChar w:fldCharType="begin"/>
      </w:r>
      <w:r>
        <w:rPr>
          <w:rFonts w:hint="eastAsia" w:ascii="微软雅黑" w:hAnsi="微软雅黑" w:eastAsia="微软雅黑" w:cs="微软雅黑"/>
          <w:i w:val="0"/>
          <w:iCs w:val="0"/>
          <w:caps w:val="0"/>
          <w:color w:val="000000"/>
          <w:spacing w:val="0"/>
          <w:sz w:val="21"/>
          <w:szCs w:val="21"/>
          <w:shd w:val="clear" w:fill="FFFFFF"/>
        </w:rPr>
        <w:instrText xml:space="preserve"> HYPERLINK "https://www.shui5.cn/article/a7/141890.html" </w:instrText>
      </w:r>
      <w:r>
        <w:rPr>
          <w:rFonts w:hint="eastAsia" w:ascii="微软雅黑" w:hAnsi="微软雅黑" w:eastAsia="微软雅黑" w:cs="微软雅黑"/>
          <w:i w:val="0"/>
          <w:iCs w:val="0"/>
          <w:caps w:val="0"/>
          <w:color w:val="000000"/>
          <w:spacing w:val="0"/>
          <w:sz w:val="21"/>
          <w:szCs w:val="21"/>
          <w:shd w:val="clear" w:fill="FFFFFF"/>
        </w:rPr>
        <w:fldChar w:fldCharType="separate"/>
      </w:r>
      <w:r>
        <w:rPr>
          <w:rFonts w:hint="eastAsia" w:ascii="微软雅黑" w:hAnsi="微软雅黑" w:eastAsia="微软雅黑" w:cs="微软雅黑"/>
          <w:i w:val="0"/>
          <w:iCs w:val="0"/>
          <w:caps w:val="0"/>
          <w:color w:val="000000"/>
          <w:spacing w:val="0"/>
          <w:sz w:val="21"/>
          <w:szCs w:val="21"/>
          <w:shd w:val="clear" w:fill="FFFFFF"/>
        </w:rPr>
        <w:t>国办发〔2021〕32号</w:t>
      </w:r>
      <w:r>
        <w:rPr>
          <w:rFonts w:hint="eastAsia" w:ascii="微软雅黑" w:hAnsi="微软雅黑" w:eastAsia="微软雅黑" w:cs="微软雅黑"/>
          <w:i w:val="0"/>
          <w:iCs w:val="0"/>
          <w:caps w:val="0"/>
          <w:color w:val="000000"/>
          <w:spacing w:val="0"/>
          <w:sz w:val="21"/>
          <w:szCs w:val="21"/>
          <w:shd w:val="clear" w:fill="FFFFFF"/>
        </w:rPr>
        <w:fldChar w:fldCharType="end"/>
      </w:r>
      <w:r>
        <w:rPr>
          <w:rFonts w:hint="eastAsia" w:ascii="微软雅黑" w:hAnsi="微软雅黑" w:eastAsia="微软雅黑" w:cs="微软雅黑"/>
          <w:i w:val="0"/>
          <w:iCs w:val="0"/>
          <w:caps w:val="0"/>
          <w:color w:val="000000"/>
          <w:spacing w:val="0"/>
          <w:sz w:val="21"/>
          <w:szCs w:val="21"/>
          <w:shd w:val="clear" w:fill="FFFFFF"/>
        </w:rPr>
        <w:t>)，我们对《财政部教育部关于印发&lt;高等学校哲学社会科学繁荣计划专项资金管理办法&gt;的通知》(财教〔2016〕317号)进行了修订。现将修订后的《高等学校哲学社会科学繁荣计划专项资金管理办法》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附件：《高等学校哲学社会科学繁荣计划专项资金管理办法》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514" w:firstLineChars="3102"/>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财政部 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304" w:firstLineChars="3002"/>
        <w:jc w:val="left"/>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2021年11月15日</w:t>
      </w: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14" w:lineRule="atLeast"/>
        <w:ind w:left="0" w:right="0" w:firstLine="0"/>
        <w:jc w:val="center"/>
        <w:rPr>
          <w:rFonts w:hint="eastAsia" w:ascii="微软雅黑" w:hAnsi="微软雅黑" w:eastAsia="微软雅黑" w:cs="微软雅黑"/>
          <w:i w:val="0"/>
          <w:iCs w:val="0"/>
          <w:caps w:val="0"/>
          <w:color w:val="727272"/>
          <w:spacing w:val="0"/>
          <w:kern w:val="0"/>
          <w:sz w:val="24"/>
          <w:szCs w:val="24"/>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Style w:val="5"/>
          <w:rFonts w:hint="eastAsia" w:ascii="宋体" w:hAnsi="宋体" w:eastAsia="宋体" w:cs="宋体"/>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333333"/>
        </w:rPr>
      </w:pPr>
      <w:bookmarkStart w:id="0" w:name="_GoBack"/>
      <w:bookmarkEnd w:id="0"/>
      <w:r>
        <w:rPr>
          <w:rFonts w:hint="eastAsia" w:ascii="微软雅黑" w:hAnsi="微软雅黑" w:eastAsia="微软雅黑" w:cs="微软雅黑"/>
          <w:i w:val="0"/>
          <w:iCs w:val="0"/>
          <w:caps w:val="0"/>
          <w:color w:val="000000"/>
          <w:spacing w:val="0"/>
          <w:sz w:val="29"/>
          <w:szCs w:val="29"/>
          <w:shd w:val="clear" w:fill="FFFFFF"/>
        </w:rPr>
        <w:t>高等学校哲学社会科学繁荣计划专项资金管理办法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第一章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总</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第一条 </w:t>
      </w:r>
      <w:r>
        <w:rPr>
          <w:rFonts w:hint="eastAsia" w:ascii="微软雅黑" w:hAnsi="微软雅黑" w:eastAsia="微软雅黑" w:cs="微软雅黑"/>
          <w:i w:val="0"/>
          <w:iCs w:val="0"/>
          <w:caps w:val="0"/>
          <w:color w:val="333333"/>
          <w:spacing w:val="0"/>
          <w:sz w:val="21"/>
          <w:szCs w:val="21"/>
          <w:shd w:val="clear" w:fill="FFFFFF"/>
        </w:rPr>
        <w:t>为规范</w:t>
      </w:r>
      <w:r>
        <w:rPr>
          <w:rFonts w:hint="eastAsia" w:ascii="微软雅黑" w:hAnsi="微软雅黑" w:eastAsia="微软雅黑" w:cs="微软雅黑"/>
          <w:i w:val="0"/>
          <w:iCs w:val="0"/>
          <w:caps w:val="0"/>
          <w:color w:val="000000"/>
          <w:spacing w:val="0"/>
          <w:sz w:val="21"/>
          <w:szCs w:val="21"/>
          <w:shd w:val="clear" w:fill="FFFFFF"/>
        </w:rPr>
        <w:t>高等学校哲学社会科学繁荣计划专项资金（以下简称繁荣计划专项资金）</w:t>
      </w:r>
      <w:r>
        <w:rPr>
          <w:rFonts w:hint="eastAsia" w:ascii="微软雅黑" w:hAnsi="微软雅黑" w:eastAsia="微软雅黑" w:cs="微软雅黑"/>
          <w:i w:val="0"/>
          <w:iCs w:val="0"/>
          <w:caps w:val="0"/>
          <w:color w:val="333333"/>
          <w:spacing w:val="0"/>
          <w:sz w:val="21"/>
          <w:szCs w:val="21"/>
          <w:shd w:val="clear" w:fill="FFFFFF"/>
        </w:rPr>
        <w:t>管理和使用，提高资金使用效益，</w:t>
      </w:r>
      <w:r>
        <w:rPr>
          <w:rFonts w:hint="eastAsia" w:ascii="微软雅黑" w:hAnsi="微软雅黑" w:eastAsia="微软雅黑" w:cs="微软雅黑"/>
          <w:i w:val="0"/>
          <w:iCs w:val="0"/>
          <w:caps w:val="0"/>
          <w:color w:val="000000"/>
          <w:spacing w:val="0"/>
          <w:sz w:val="21"/>
          <w:szCs w:val="21"/>
          <w:shd w:val="clear" w:fill="FFFFFF"/>
        </w:rPr>
        <w:t>推动面向</w:t>
      </w:r>
      <w:r>
        <w:rPr>
          <w:rFonts w:hint="eastAsia" w:ascii="微软雅黑" w:hAnsi="微软雅黑" w:eastAsia="微软雅黑" w:cs="微软雅黑"/>
          <w:i w:val="0"/>
          <w:iCs w:val="0"/>
          <w:caps w:val="0"/>
          <w:color w:val="000000"/>
          <w:spacing w:val="0"/>
          <w:sz w:val="21"/>
          <w:szCs w:val="21"/>
          <w:shd w:val="clear" w:fill="FFFFFF"/>
          <w:lang w:val="en-US"/>
        </w:rPr>
        <w:t>2035</w:t>
      </w:r>
      <w:r>
        <w:rPr>
          <w:rFonts w:hint="eastAsia" w:ascii="微软雅黑" w:hAnsi="微软雅黑" w:eastAsia="微软雅黑" w:cs="微软雅黑"/>
          <w:i w:val="0"/>
          <w:iCs w:val="0"/>
          <w:caps w:val="0"/>
          <w:color w:val="000000"/>
          <w:spacing w:val="0"/>
          <w:sz w:val="21"/>
          <w:szCs w:val="21"/>
          <w:shd w:val="clear" w:fill="FFFFFF"/>
        </w:rPr>
        <w:t>高校哲学社会科学高质量发展</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000000"/>
          <w:spacing w:val="0"/>
          <w:sz w:val="21"/>
          <w:szCs w:val="21"/>
          <w:shd w:val="clear" w:fill="FFFFFF"/>
        </w:rPr>
        <w:t>根据《中华人民共和国预算法》及其实施条例等法律法规和</w:t>
      </w:r>
      <w:r>
        <w:rPr>
          <w:rFonts w:hint="eastAsia" w:ascii="微软雅黑" w:hAnsi="微软雅黑" w:eastAsia="微软雅黑" w:cs="微软雅黑"/>
          <w:i w:val="0"/>
          <w:iCs w:val="0"/>
          <w:caps w:val="0"/>
          <w:color w:val="333333"/>
          <w:spacing w:val="0"/>
          <w:sz w:val="21"/>
          <w:szCs w:val="21"/>
          <w:shd w:val="clear" w:fill="FFFFFF"/>
        </w:rPr>
        <w:t>《中共中央办公厅 国务院办公厅印发</w:t>
      </w:r>
      <w:r>
        <w:rPr>
          <w:rFonts w:hint="eastAsia" w:ascii="微软雅黑" w:hAnsi="微软雅黑" w:eastAsia="微软雅黑" w:cs="微软雅黑"/>
          <w:i w:val="0"/>
          <w:iCs w:val="0"/>
          <w:caps w:val="0"/>
          <w:color w:val="333333"/>
          <w:spacing w:val="0"/>
          <w:sz w:val="21"/>
          <w:szCs w:val="21"/>
          <w:shd w:val="clear" w:fill="FFFFFF"/>
          <w:lang w:val="en-US"/>
        </w:rPr>
        <w:t>&lt;</w:t>
      </w:r>
      <w:r>
        <w:rPr>
          <w:rFonts w:hint="eastAsia" w:ascii="微软雅黑" w:hAnsi="微软雅黑" w:eastAsia="微软雅黑" w:cs="微软雅黑"/>
          <w:i w:val="0"/>
          <w:iCs w:val="0"/>
          <w:caps w:val="0"/>
          <w:color w:val="333333"/>
          <w:spacing w:val="0"/>
          <w:sz w:val="21"/>
          <w:szCs w:val="21"/>
          <w:shd w:val="clear" w:fill="FFFFFF"/>
        </w:rPr>
        <w:t>关于进一步完善中央财政科研项目资金管理等政策的若干意见</w:t>
      </w:r>
      <w:r>
        <w:rPr>
          <w:rFonts w:hint="eastAsia" w:ascii="微软雅黑" w:hAnsi="微软雅黑" w:eastAsia="微软雅黑" w:cs="微软雅黑"/>
          <w:i w:val="0"/>
          <w:iCs w:val="0"/>
          <w:caps w:val="0"/>
          <w:color w:val="333333"/>
          <w:spacing w:val="0"/>
          <w:sz w:val="21"/>
          <w:szCs w:val="21"/>
          <w:shd w:val="clear" w:fill="FFFFFF"/>
          <w:lang w:val="en-US"/>
        </w:rPr>
        <w:t>&gt;</w:t>
      </w:r>
      <w:r>
        <w:rPr>
          <w:rFonts w:hint="eastAsia" w:ascii="微软雅黑" w:hAnsi="微软雅黑" w:eastAsia="微软雅黑" w:cs="微软雅黑"/>
          <w:i w:val="0"/>
          <w:iCs w:val="0"/>
          <w:caps w:val="0"/>
          <w:color w:val="333333"/>
          <w:spacing w:val="0"/>
          <w:sz w:val="21"/>
          <w:szCs w:val="21"/>
          <w:shd w:val="clear" w:fill="FFFFFF"/>
        </w:rPr>
        <w:t>的通知》、《国务院关于优化科研管理提升科研绩效若干措施的通知》（国发〔</w:t>
      </w:r>
      <w:r>
        <w:rPr>
          <w:rFonts w:hint="eastAsia" w:ascii="微软雅黑" w:hAnsi="微软雅黑" w:eastAsia="微软雅黑" w:cs="微软雅黑"/>
          <w:i w:val="0"/>
          <w:iCs w:val="0"/>
          <w:caps w:val="0"/>
          <w:color w:val="333333"/>
          <w:spacing w:val="0"/>
          <w:sz w:val="21"/>
          <w:szCs w:val="21"/>
          <w:shd w:val="clear" w:fill="FFFFFF"/>
          <w:lang w:val="en-US"/>
        </w:rPr>
        <w:t>2018</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rPr>
        <w:t>25</w:t>
      </w:r>
      <w:r>
        <w:rPr>
          <w:rFonts w:hint="eastAsia" w:ascii="微软雅黑" w:hAnsi="微软雅黑" w:eastAsia="微软雅黑" w:cs="微软雅黑"/>
          <w:i w:val="0"/>
          <w:iCs w:val="0"/>
          <w:caps w:val="0"/>
          <w:color w:val="333333"/>
          <w:spacing w:val="0"/>
          <w:sz w:val="21"/>
          <w:szCs w:val="21"/>
          <w:shd w:val="clear" w:fill="FFFFFF"/>
        </w:rPr>
        <w:t>号）、《国务院办公厅关于改革完善中央财政科研经费管理的若干意见》（国办发〔</w:t>
      </w:r>
      <w:r>
        <w:rPr>
          <w:rFonts w:hint="eastAsia" w:ascii="微软雅黑" w:hAnsi="微软雅黑" w:eastAsia="微软雅黑" w:cs="微软雅黑"/>
          <w:i w:val="0"/>
          <w:iCs w:val="0"/>
          <w:caps w:val="0"/>
          <w:color w:val="333333"/>
          <w:spacing w:val="0"/>
          <w:sz w:val="21"/>
          <w:szCs w:val="21"/>
          <w:shd w:val="clear" w:fill="FFFFFF"/>
          <w:lang w:val="en-US"/>
        </w:rPr>
        <w:t>2021</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rPr>
        <w:t>32</w:t>
      </w:r>
      <w:r>
        <w:rPr>
          <w:rFonts w:hint="eastAsia" w:ascii="微软雅黑" w:hAnsi="微软雅黑" w:eastAsia="微软雅黑" w:cs="微软雅黑"/>
          <w:i w:val="0"/>
          <w:iCs w:val="0"/>
          <w:caps w:val="0"/>
          <w:color w:val="333333"/>
          <w:spacing w:val="0"/>
          <w:sz w:val="21"/>
          <w:szCs w:val="21"/>
          <w:shd w:val="clear" w:fill="FFFFFF"/>
        </w:rPr>
        <w:t>号）等要求，结合繁荣计划管理特点，制定本办法。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第二条 繁荣计划专项资金由中央财政安排，是用于支持高校思政课建设和哲学社会科学研究、学科发展、人才培养、队伍建设的专项资金。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第三条 </w:t>
      </w:r>
      <w:r>
        <w:rPr>
          <w:rFonts w:hint="eastAsia" w:ascii="微软雅黑" w:hAnsi="微软雅黑" w:eastAsia="微软雅黑" w:cs="微软雅黑"/>
          <w:i w:val="0"/>
          <w:iCs w:val="0"/>
          <w:caps w:val="0"/>
          <w:color w:val="333333"/>
          <w:spacing w:val="0"/>
          <w:sz w:val="21"/>
          <w:szCs w:val="21"/>
          <w:shd w:val="clear" w:fill="FFFFFF"/>
        </w:rPr>
        <w:t>繁荣计划专项资金管理，以促进高校哲学社会科学高质量发展为目标，以推动高校加快构建中国特色哲学社会科学学科体系、学术体系、话语体系为重点，坚持以人为本、遵循规律、突出绩效、规范安全的原则。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第四条 财政部根据国家教育事业发展规划，结合高校哲学社会科学资金需求、国家财力可能</w:t>
      </w:r>
      <w:r>
        <w:rPr>
          <w:rFonts w:hint="eastAsia" w:ascii="微软雅黑" w:hAnsi="微软雅黑" w:eastAsia="微软雅黑" w:cs="微软雅黑"/>
          <w:i w:val="0"/>
          <w:iCs w:val="0"/>
          <w:caps w:val="0"/>
          <w:color w:val="333333"/>
          <w:spacing w:val="0"/>
          <w:sz w:val="21"/>
          <w:szCs w:val="21"/>
          <w:shd w:val="clear" w:fill="FFFFFF"/>
        </w:rPr>
        <w:t>和绩效结果</w:t>
      </w:r>
      <w:r>
        <w:rPr>
          <w:rFonts w:hint="eastAsia" w:ascii="微软雅黑" w:hAnsi="微软雅黑" w:eastAsia="微软雅黑" w:cs="微软雅黑"/>
          <w:i w:val="0"/>
          <w:iCs w:val="0"/>
          <w:caps w:val="0"/>
          <w:color w:val="000000"/>
          <w:spacing w:val="0"/>
          <w:sz w:val="21"/>
          <w:szCs w:val="21"/>
          <w:shd w:val="clear" w:fill="FFFFFF"/>
        </w:rPr>
        <w:t>，将繁荣计划专项资金列入中央财政预算，核定支出规划和年度预算，对资金使用和管理情况进行监督指导。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第五条 教育部负责编制繁荣计划专项资金年度预算、具体组织实施和管理监督工作，健全绩效考评机制。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第六条 项目承担高校是繁荣计划专项资金管理的责任主体，建立健全专项资金管理制度，完善内部控制、绩效管理和监督约束机制，合理确定科研、财务、人事、资产、审计、监察等部门的责任和权限。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第七条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000000"/>
          <w:spacing w:val="0"/>
          <w:sz w:val="21"/>
          <w:szCs w:val="21"/>
          <w:shd w:val="clear" w:fill="FFFFFF"/>
        </w:rPr>
        <w:t>项目负责人是繁荣计划专项资金使用的直接责任人，对资金使用的合法合规性、合理性、真实性和相关性负责。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第八条 繁荣计划专项资金分为研究项目资金、非研究项目资金和管理资金。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研究项目资金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第九条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333333"/>
          <w:spacing w:val="0"/>
          <w:sz w:val="21"/>
          <w:szCs w:val="21"/>
          <w:shd w:val="clear" w:fill="FFFFFF"/>
        </w:rPr>
        <w:t>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本办法所称的研究项目，包括教育部哲学社会科学研究项目，以及专项资金支持的研究基地、实验室、平台、智库等设立的研究项目。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第十条 直接费用是指在项目研究过程中发生的与之直接相关的费用，包括：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（一）业务费：</w:t>
      </w:r>
      <w:r>
        <w:rPr>
          <w:rFonts w:hint="eastAsia" w:ascii="微软雅黑" w:hAnsi="微软雅黑" w:eastAsia="微软雅黑" w:cs="微软雅黑"/>
          <w:i w:val="0"/>
          <w:iCs w:val="0"/>
          <w:caps w:val="0"/>
          <w:color w:val="000000"/>
          <w:spacing w:val="0"/>
          <w:sz w:val="21"/>
          <w:szCs w:val="21"/>
          <w:shd w:val="clear" w:fill="FFFFFF"/>
        </w:rPr>
        <w:t>指在项目研究过程中购置图书、收集资料、复印翻拍、检索文献、采集数据、翻译资料、印刷出版、会议、差旅、国际合作与交流等费用，以及其他相关支出。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（二）</w:t>
      </w:r>
      <w:r>
        <w:rPr>
          <w:rFonts w:hint="eastAsia" w:ascii="微软雅黑" w:hAnsi="微软雅黑" w:eastAsia="微软雅黑" w:cs="微软雅黑"/>
          <w:i w:val="0"/>
          <w:iCs w:val="0"/>
          <w:caps w:val="0"/>
          <w:color w:val="000000"/>
          <w:spacing w:val="0"/>
          <w:sz w:val="21"/>
          <w:szCs w:val="21"/>
          <w:shd w:val="clear" w:fill="FFFFFF"/>
        </w:rPr>
        <w:t>劳务费：指在项目实施过程中支付给参与研究的研究生、博士后、访问学者、聘用的研究人员、科研辅助人员等的劳务性费用，以及支付给临时聘请的咨询专家的费用等。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聘用人员的劳务费开支标准，参照当地社科研究从业人员平均工资水平，根据其在研究中承担的工作任务确定，其由单位缴纳的社会保险补助、住房公积金等纳入劳务费科目列支。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支付给临时聘请的咨询专家的费用，不得支付给参与本项目及所属课题研究和管理的相关人员，其管理按照国家有关规定执行。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（三）</w:t>
      </w:r>
      <w:r>
        <w:rPr>
          <w:rFonts w:hint="eastAsia" w:ascii="微软雅黑" w:hAnsi="微软雅黑" w:eastAsia="微软雅黑" w:cs="微软雅黑"/>
          <w:i w:val="0"/>
          <w:iCs w:val="0"/>
          <w:caps w:val="0"/>
          <w:color w:val="000000"/>
          <w:spacing w:val="0"/>
          <w:sz w:val="21"/>
          <w:szCs w:val="21"/>
          <w:shd w:val="clear" w:fill="FFFFFF"/>
        </w:rPr>
        <w:t>设备费：指在项目研究过程中购置设备和设备耗材、升级维护现有设备及租用外单位设备而发生的费用。应当合理购置设备，鼓励共享、租赁及对现有设备进行升级改造。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第十一条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第十二条 预算制项目负责人在申请繁荣计划项目资金时，按照研究实际需要和资金开支范围，科学合理、实事求是地按年度编制项目预算、设定项目绩效目标。直接费用中除</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万元以上的设备费外，其他费用只提供基本测算说明，不需要提供明细。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跨单位合作的科研活动，确需外拨资金的，应当在预算中单独列示，并对合作研究单位资质、承担的研究任务、外拨资金额度等进行说明。间接费用外拨金额，由项目承担高校和合作研究单位协商确定。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第十三条 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第十四条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000000"/>
          <w:spacing w:val="0"/>
          <w:sz w:val="21"/>
          <w:szCs w:val="21"/>
          <w:shd w:val="clear" w:fill="FFFFFF"/>
        </w:rPr>
        <w:t>间接费用按照不超过项目资助总额的一定比例核定，具体如下：</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万元及以下部分为</w:t>
      </w:r>
      <w:r>
        <w:rPr>
          <w:rFonts w:hint="eastAsia" w:ascii="微软雅黑" w:hAnsi="微软雅黑" w:eastAsia="微软雅黑" w:cs="微软雅黑"/>
          <w:i w:val="0"/>
          <w:iCs w:val="0"/>
          <w:caps w:val="0"/>
          <w:color w:val="000000"/>
          <w:spacing w:val="0"/>
          <w:sz w:val="21"/>
          <w:szCs w:val="21"/>
          <w:shd w:val="clear" w:fill="FFFFFF"/>
          <w:lang w:val="en-US"/>
        </w:rPr>
        <w:t>40%</w:t>
      </w:r>
      <w:r>
        <w:rPr>
          <w:rFonts w:hint="eastAsia" w:ascii="微软雅黑" w:hAnsi="微软雅黑" w:eastAsia="微软雅黑" w:cs="微软雅黑"/>
          <w:i w:val="0"/>
          <w:iCs w:val="0"/>
          <w:caps w:val="0"/>
          <w:color w:val="000000"/>
          <w:spacing w:val="0"/>
          <w:sz w:val="21"/>
          <w:szCs w:val="21"/>
          <w:shd w:val="clear" w:fill="FFFFFF"/>
        </w:rPr>
        <w:t>；超过</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万元至</w:t>
      </w:r>
      <w:r>
        <w:rPr>
          <w:rFonts w:hint="eastAsia" w:ascii="微软雅黑" w:hAnsi="微软雅黑" w:eastAsia="微软雅黑" w:cs="微软雅黑"/>
          <w:i w:val="0"/>
          <w:iCs w:val="0"/>
          <w:caps w:val="0"/>
          <w:color w:val="000000"/>
          <w:spacing w:val="0"/>
          <w:sz w:val="21"/>
          <w:szCs w:val="21"/>
          <w:shd w:val="clear" w:fill="FFFFFF"/>
          <w:lang w:val="en-US"/>
        </w:rPr>
        <w:t>500</w:t>
      </w:r>
      <w:r>
        <w:rPr>
          <w:rFonts w:hint="eastAsia" w:ascii="微软雅黑" w:hAnsi="微软雅黑" w:eastAsia="微软雅黑" w:cs="微软雅黑"/>
          <w:i w:val="0"/>
          <w:iCs w:val="0"/>
          <w:caps w:val="0"/>
          <w:color w:val="000000"/>
          <w:spacing w:val="0"/>
          <w:sz w:val="21"/>
          <w:szCs w:val="21"/>
          <w:shd w:val="clear" w:fill="FFFFFF"/>
        </w:rPr>
        <w:t>万元的部分为</w:t>
      </w:r>
      <w:r>
        <w:rPr>
          <w:rFonts w:hint="eastAsia" w:ascii="微软雅黑" w:hAnsi="微软雅黑" w:eastAsia="微软雅黑" w:cs="微软雅黑"/>
          <w:i w:val="0"/>
          <w:iCs w:val="0"/>
          <w:caps w:val="0"/>
          <w:color w:val="000000"/>
          <w:spacing w:val="0"/>
          <w:sz w:val="21"/>
          <w:szCs w:val="21"/>
          <w:shd w:val="clear" w:fill="FFFFFF"/>
          <w:lang w:val="en-US"/>
        </w:rPr>
        <w:t>30%</w:t>
      </w:r>
      <w:r>
        <w:rPr>
          <w:rFonts w:hint="eastAsia" w:ascii="微软雅黑" w:hAnsi="微软雅黑" w:eastAsia="微软雅黑" w:cs="微软雅黑"/>
          <w:i w:val="0"/>
          <w:iCs w:val="0"/>
          <w:caps w:val="0"/>
          <w:color w:val="000000"/>
          <w:spacing w:val="0"/>
          <w:sz w:val="21"/>
          <w:szCs w:val="21"/>
          <w:shd w:val="clear" w:fill="FFFFFF"/>
        </w:rPr>
        <w:t>；超过</w:t>
      </w:r>
      <w:r>
        <w:rPr>
          <w:rFonts w:hint="eastAsia" w:ascii="微软雅黑" w:hAnsi="微软雅黑" w:eastAsia="微软雅黑" w:cs="微软雅黑"/>
          <w:i w:val="0"/>
          <w:iCs w:val="0"/>
          <w:caps w:val="0"/>
          <w:color w:val="000000"/>
          <w:spacing w:val="0"/>
          <w:sz w:val="21"/>
          <w:szCs w:val="21"/>
          <w:shd w:val="clear" w:fill="FFFFFF"/>
          <w:lang w:val="en-US"/>
        </w:rPr>
        <w:t>500</w:t>
      </w:r>
      <w:r>
        <w:rPr>
          <w:rFonts w:hint="eastAsia" w:ascii="微软雅黑" w:hAnsi="微软雅黑" w:eastAsia="微软雅黑" w:cs="微软雅黑"/>
          <w:i w:val="0"/>
          <w:iCs w:val="0"/>
          <w:caps w:val="0"/>
          <w:color w:val="000000"/>
          <w:spacing w:val="0"/>
          <w:sz w:val="21"/>
          <w:szCs w:val="21"/>
          <w:shd w:val="clear" w:fill="FFFFFF"/>
        </w:rPr>
        <w:t>万元的部分为</w:t>
      </w:r>
      <w:r>
        <w:rPr>
          <w:rFonts w:hint="eastAsia" w:ascii="微软雅黑" w:hAnsi="微软雅黑" w:eastAsia="微软雅黑" w:cs="微软雅黑"/>
          <w:i w:val="0"/>
          <w:iCs w:val="0"/>
          <w:caps w:val="0"/>
          <w:color w:val="000000"/>
          <w:spacing w:val="0"/>
          <w:sz w:val="21"/>
          <w:szCs w:val="21"/>
          <w:shd w:val="clear" w:fill="FFFFFF"/>
          <w:lang w:val="en-US"/>
        </w:rPr>
        <w:t>20%</w:t>
      </w:r>
      <w:r>
        <w:rPr>
          <w:rFonts w:hint="eastAsia" w:ascii="微软雅黑" w:hAnsi="微软雅黑" w:eastAsia="微软雅黑" w:cs="微软雅黑"/>
          <w:i w:val="0"/>
          <w:iCs w:val="0"/>
          <w:caps w:val="0"/>
          <w:color w:val="000000"/>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对纯理论基础研究项目，间接费用比例</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万元及以下部分可提高到不超过</w:t>
      </w:r>
      <w:r>
        <w:rPr>
          <w:rFonts w:hint="eastAsia" w:ascii="微软雅黑" w:hAnsi="微软雅黑" w:eastAsia="微软雅黑" w:cs="微软雅黑"/>
          <w:i w:val="0"/>
          <w:iCs w:val="0"/>
          <w:caps w:val="0"/>
          <w:color w:val="000000"/>
          <w:spacing w:val="0"/>
          <w:sz w:val="21"/>
          <w:szCs w:val="21"/>
          <w:shd w:val="clear" w:fill="FFFFFF"/>
          <w:lang w:val="en-US"/>
        </w:rPr>
        <w:t>60%</w:t>
      </w:r>
      <w:r>
        <w:rPr>
          <w:rFonts w:hint="eastAsia" w:ascii="微软雅黑" w:hAnsi="微软雅黑" w:eastAsia="微软雅黑" w:cs="微软雅黑"/>
          <w:i w:val="0"/>
          <w:iCs w:val="0"/>
          <w:caps w:val="0"/>
          <w:color w:val="000000"/>
          <w:spacing w:val="0"/>
          <w:sz w:val="21"/>
          <w:szCs w:val="21"/>
          <w:shd w:val="clear" w:fill="FFFFFF"/>
        </w:rPr>
        <w:t>；超过</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万元至</w:t>
      </w:r>
      <w:r>
        <w:rPr>
          <w:rFonts w:hint="eastAsia" w:ascii="微软雅黑" w:hAnsi="微软雅黑" w:eastAsia="微软雅黑" w:cs="微软雅黑"/>
          <w:i w:val="0"/>
          <w:iCs w:val="0"/>
          <w:caps w:val="0"/>
          <w:color w:val="000000"/>
          <w:spacing w:val="0"/>
          <w:sz w:val="21"/>
          <w:szCs w:val="21"/>
          <w:shd w:val="clear" w:fill="FFFFFF"/>
          <w:lang w:val="en-US"/>
        </w:rPr>
        <w:t>500</w:t>
      </w:r>
      <w:r>
        <w:rPr>
          <w:rFonts w:hint="eastAsia" w:ascii="微软雅黑" w:hAnsi="微软雅黑" w:eastAsia="微软雅黑" w:cs="微软雅黑"/>
          <w:i w:val="0"/>
          <w:iCs w:val="0"/>
          <w:caps w:val="0"/>
          <w:color w:val="000000"/>
          <w:spacing w:val="0"/>
          <w:sz w:val="21"/>
          <w:szCs w:val="21"/>
          <w:shd w:val="clear" w:fill="FFFFFF"/>
        </w:rPr>
        <w:t>万元的部分可提高到不超过</w:t>
      </w:r>
      <w:r>
        <w:rPr>
          <w:rFonts w:hint="eastAsia" w:ascii="微软雅黑" w:hAnsi="微软雅黑" w:eastAsia="微软雅黑" w:cs="微软雅黑"/>
          <w:i w:val="0"/>
          <w:iCs w:val="0"/>
          <w:caps w:val="0"/>
          <w:color w:val="000000"/>
          <w:spacing w:val="0"/>
          <w:sz w:val="21"/>
          <w:szCs w:val="21"/>
          <w:shd w:val="clear" w:fill="FFFFFF"/>
          <w:lang w:val="en-US"/>
        </w:rPr>
        <w:t>50%</w:t>
      </w:r>
      <w:r>
        <w:rPr>
          <w:rFonts w:hint="eastAsia" w:ascii="微软雅黑" w:hAnsi="微软雅黑" w:eastAsia="微软雅黑" w:cs="微软雅黑"/>
          <w:i w:val="0"/>
          <w:iCs w:val="0"/>
          <w:caps w:val="0"/>
          <w:color w:val="000000"/>
          <w:spacing w:val="0"/>
          <w:sz w:val="21"/>
          <w:szCs w:val="21"/>
          <w:shd w:val="clear" w:fill="FFFFFF"/>
        </w:rPr>
        <w:t>；超过</w:t>
      </w:r>
      <w:r>
        <w:rPr>
          <w:rFonts w:hint="eastAsia" w:ascii="微软雅黑" w:hAnsi="微软雅黑" w:eastAsia="微软雅黑" w:cs="微软雅黑"/>
          <w:i w:val="0"/>
          <w:iCs w:val="0"/>
          <w:caps w:val="0"/>
          <w:color w:val="000000"/>
          <w:spacing w:val="0"/>
          <w:sz w:val="21"/>
          <w:szCs w:val="21"/>
          <w:shd w:val="clear" w:fill="FFFFFF"/>
          <w:lang w:val="en-US"/>
        </w:rPr>
        <w:t>500</w:t>
      </w:r>
      <w:r>
        <w:rPr>
          <w:rFonts w:hint="eastAsia" w:ascii="微软雅黑" w:hAnsi="微软雅黑" w:eastAsia="微软雅黑" w:cs="微软雅黑"/>
          <w:i w:val="0"/>
          <w:iCs w:val="0"/>
          <w:caps w:val="0"/>
          <w:color w:val="000000"/>
          <w:spacing w:val="0"/>
          <w:sz w:val="21"/>
          <w:szCs w:val="21"/>
          <w:shd w:val="clear" w:fill="FFFFFF"/>
        </w:rPr>
        <w:t>万元的部分可提高到不超过</w:t>
      </w:r>
      <w:r>
        <w:rPr>
          <w:rFonts w:hint="eastAsia" w:ascii="微软雅黑" w:hAnsi="微软雅黑" w:eastAsia="微软雅黑" w:cs="微软雅黑"/>
          <w:i w:val="0"/>
          <w:iCs w:val="0"/>
          <w:caps w:val="0"/>
          <w:color w:val="000000"/>
          <w:spacing w:val="0"/>
          <w:sz w:val="21"/>
          <w:szCs w:val="21"/>
          <w:shd w:val="clear" w:fill="FFFFFF"/>
          <w:lang w:val="en-US"/>
        </w:rPr>
        <w:t>40%</w:t>
      </w:r>
      <w:r>
        <w:rPr>
          <w:rFonts w:hint="eastAsia" w:ascii="微软雅黑" w:hAnsi="微软雅黑" w:eastAsia="微软雅黑" w:cs="微软雅黑"/>
          <w:i w:val="0"/>
          <w:iCs w:val="0"/>
          <w:caps w:val="0"/>
          <w:color w:val="000000"/>
          <w:spacing w:val="0"/>
          <w:sz w:val="21"/>
          <w:szCs w:val="21"/>
          <w:shd w:val="clear" w:fill="FFFFFF"/>
        </w:rPr>
        <w:t>，具体范围由教育部商财政部确定。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第十五条 教育部根据繁荣计划建设目标和建设内容，组织专家重点对预算申请的目标相关性、政策相符性、经济合理性进行评审。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第十六条 </w:t>
      </w:r>
      <w:r>
        <w:rPr>
          <w:rFonts w:hint="eastAsia" w:ascii="微软雅黑" w:hAnsi="微软雅黑" w:eastAsia="微软雅黑" w:cs="微软雅黑"/>
          <w:i w:val="0"/>
          <w:iCs w:val="0"/>
          <w:caps w:val="0"/>
          <w:color w:val="000000"/>
          <w:spacing w:val="0"/>
          <w:sz w:val="21"/>
          <w:szCs w:val="21"/>
          <w:shd w:val="clear" w:fill="FFFFFF"/>
        </w:rPr>
        <w:t>项目负责人应当严格执行批准后的预算。预算有以下情况确需调剂的，由项目承担高校审批或备案。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（一）原预算未列示外拨资金，需要增列的；外拨资金如需调剂的，由项目负责人根据科研活动的实际需要提出申请，报项目承担高校审批。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（二）设备费预算如需调剂的，由项目负责人根据科研活动的实际需要提出申请，报项目承担高校审批。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（三）业务费、劳务费预算如需调剂的，由项目负责人根据科研活动实际需要自主安排，并报项目承担高校备案。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（四）</w:t>
      </w:r>
      <w:r>
        <w:rPr>
          <w:rFonts w:hint="eastAsia" w:ascii="微软雅黑" w:hAnsi="微软雅黑" w:eastAsia="微软雅黑" w:cs="微软雅黑"/>
          <w:i w:val="0"/>
          <w:iCs w:val="0"/>
          <w:caps w:val="0"/>
          <w:color w:val="333333"/>
          <w:spacing w:val="0"/>
          <w:sz w:val="21"/>
          <w:szCs w:val="21"/>
          <w:shd w:val="clear" w:fill="FFFFFF"/>
        </w:rPr>
        <w:t>间接费用预算总额不得调增，项目负责人与项目承担高校协商一致后可调减用于直接费用。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项目承担高校应当根据科研活动的实际需求及时办理调剂手续。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第十七条 包干制项目实施范围由教育部商财政部确定。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第十八条 </w:t>
      </w:r>
      <w:r>
        <w:rPr>
          <w:rFonts w:hint="eastAsia" w:ascii="微软雅黑" w:hAnsi="微软雅黑" w:eastAsia="微软雅黑" w:cs="微软雅黑"/>
          <w:i w:val="0"/>
          <w:iCs w:val="0"/>
          <w:caps w:val="0"/>
          <w:color w:val="000000"/>
          <w:spacing w:val="0"/>
          <w:sz w:val="21"/>
          <w:szCs w:val="21"/>
          <w:shd w:val="clear" w:fill="FFFFFF"/>
        </w:rPr>
        <w:t>项目承担高校应当制定项目资金包干制管理规定。管理规定应当包括资金使用范围和标准、各方责任、违规惩戒措施等内容，报教育部备案。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第十九条 包干制项目负责人应在承诺遵守科研伦理道德和学风诚信要求、经费全部用于与项目研究工作相关支出的基础上，本着科学、合理、规范、有效的原则使用资金，无需编制预算。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第二十条 </w:t>
      </w:r>
      <w:r>
        <w:rPr>
          <w:rFonts w:hint="eastAsia" w:ascii="微软雅黑" w:hAnsi="微软雅黑" w:eastAsia="微软雅黑" w:cs="微软雅黑"/>
          <w:i w:val="0"/>
          <w:iCs w:val="0"/>
          <w:caps w:val="0"/>
          <w:color w:val="333333"/>
          <w:spacing w:val="0"/>
          <w:sz w:val="21"/>
          <w:szCs w:val="21"/>
          <w:shd w:val="clear" w:fill="FFFFFF"/>
        </w:rPr>
        <w:t>包干制项目资金由项目负责人自主决定使用，</w:t>
      </w:r>
      <w:r>
        <w:rPr>
          <w:rFonts w:hint="eastAsia" w:ascii="微软雅黑" w:hAnsi="微软雅黑" w:eastAsia="微软雅黑" w:cs="微软雅黑"/>
          <w:i w:val="0"/>
          <w:iCs w:val="0"/>
          <w:caps w:val="0"/>
          <w:color w:val="000000"/>
          <w:spacing w:val="0"/>
          <w:sz w:val="21"/>
          <w:szCs w:val="21"/>
          <w:shd w:val="clear" w:fill="FFFFFF"/>
        </w:rPr>
        <w:t>对于本办法第十条、第十一条规定的开支范围内的资金由项目负责人自主决定使用，无需履行调剂程序。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对于项目承担高校为研究提供的房屋占用，日常水、电、气、暖等消耗及开展有关管理工作的补助支出，由项目承担高校根据实际管理需要，在充分征求项目负责人意见基础上确定合理标准。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对于激励科研人员的绩效支出，由项目负责人根据实际科研需要和相关薪酬标准自主确定，项目承担高校按照工资制度进行管理。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第三章</w:t>
      </w:r>
      <w:r>
        <w:rPr>
          <w:rFonts w:hint="eastAsia" w:ascii="微软雅黑" w:hAnsi="微软雅黑" w:eastAsia="微软雅黑" w:cs="微软雅黑"/>
          <w:i w:val="0"/>
          <w:iCs w:val="0"/>
          <w:caps w:val="0"/>
          <w:color w:val="333333"/>
          <w:spacing w:val="0"/>
          <w:sz w:val="21"/>
          <w:szCs w:val="21"/>
          <w:shd w:val="clear" w:fill="FFFFFF"/>
          <w:lang w:val="en-US"/>
        </w:rPr>
        <w:t> </w:t>
      </w:r>
      <w:r>
        <w:rPr>
          <w:rFonts w:hint="eastAsia" w:ascii="微软雅黑" w:hAnsi="微软雅黑" w:eastAsia="微软雅黑" w:cs="微软雅黑"/>
          <w:i w:val="0"/>
          <w:iCs w:val="0"/>
          <w:caps w:val="0"/>
          <w:color w:val="333333"/>
          <w:spacing w:val="0"/>
          <w:sz w:val="21"/>
          <w:szCs w:val="21"/>
          <w:shd w:val="clear" w:fill="FFFFFF"/>
        </w:rPr>
        <w:t>非研究项目资金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第二十一条 非研究项目资金支出是指支持研究基地、实验室、平台、智库、团队等建设费用。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非研究项目资金按照“</w:t>
      </w:r>
      <w:r>
        <w:rPr>
          <w:rFonts w:hint="eastAsia" w:ascii="微软雅黑" w:hAnsi="微软雅黑" w:eastAsia="微软雅黑" w:cs="微软雅黑"/>
          <w:i w:val="0"/>
          <w:iCs w:val="0"/>
          <w:caps w:val="0"/>
          <w:color w:val="333333"/>
          <w:spacing w:val="0"/>
          <w:sz w:val="21"/>
          <w:szCs w:val="21"/>
          <w:shd w:val="clear" w:fill="FFFFFF"/>
        </w:rPr>
        <w:t>稳定支持、长效机制，遵循规律、引导带动，绩效导向、动态调整</w:t>
      </w:r>
      <w:r>
        <w:rPr>
          <w:rFonts w:hint="eastAsia" w:ascii="微软雅黑" w:hAnsi="微软雅黑" w:eastAsia="微软雅黑" w:cs="微软雅黑"/>
          <w:i w:val="0"/>
          <w:iCs w:val="0"/>
          <w:caps w:val="0"/>
          <w:color w:val="000000"/>
          <w:spacing w:val="0"/>
          <w:sz w:val="21"/>
          <w:szCs w:val="21"/>
          <w:shd w:val="clear" w:fill="FFFFFF"/>
        </w:rPr>
        <w:t>”的原则进行资助和管理，具体开支范围如下：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（一）人员聘用经费：是指支付给聘用的编制以外、不开支财政补助人员经费的专职研究人员、管理人员和国外访问学者的费用。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（二）能力建设经费：是指用于改善科研条件，推进全方位能力建设的经费，主要包括开展的国内学术交流、国情调研、信息采集、成果转化、联合研究等费用。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（四）奖励经费：是指根据研究人员实际贡献安排的奖励性费用，安排奖励性费用应加大对优秀人才和成果的奖励力度。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开支奖励经费的情况包括：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lang w:val="en-US"/>
        </w:rPr>
        <w:t>1.</w:t>
      </w:r>
      <w:r>
        <w:rPr>
          <w:rFonts w:hint="eastAsia" w:ascii="微软雅黑" w:hAnsi="微软雅黑" w:eastAsia="微软雅黑" w:cs="微软雅黑"/>
          <w:i w:val="0"/>
          <w:iCs w:val="0"/>
          <w:caps w:val="0"/>
          <w:color w:val="000000"/>
          <w:spacing w:val="0"/>
          <w:sz w:val="21"/>
          <w:szCs w:val="21"/>
          <w:shd w:val="clear" w:fill="FFFFFF"/>
        </w:rPr>
        <w:t>坚持服务国家目标与鼓励自由探索相结合，在思想理论上有重大创新、传承文明上有突出贡献、学科建设上有显著推动；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lang w:val="en-US"/>
        </w:rPr>
        <w:t>2.</w:t>
      </w:r>
      <w:r>
        <w:rPr>
          <w:rFonts w:hint="eastAsia" w:ascii="微软雅黑" w:hAnsi="微软雅黑" w:eastAsia="微软雅黑" w:cs="微软雅黑"/>
          <w:i w:val="0"/>
          <w:iCs w:val="0"/>
          <w:caps w:val="0"/>
          <w:color w:val="000000"/>
          <w:spacing w:val="0"/>
          <w:sz w:val="21"/>
          <w:szCs w:val="21"/>
          <w:shd w:val="clear" w:fill="FFFFFF"/>
        </w:rPr>
        <w:t>围绕国家重大战略，在解决经济社会发展重大问题上有重要贡献，为党和政府提供决策服务上有重要建树；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lang w:val="en-US"/>
        </w:rPr>
        <w:t>3.</w:t>
      </w:r>
      <w:r>
        <w:rPr>
          <w:rFonts w:hint="eastAsia" w:ascii="微软雅黑" w:hAnsi="微软雅黑" w:eastAsia="微软雅黑" w:cs="微软雅黑"/>
          <w:i w:val="0"/>
          <w:iCs w:val="0"/>
          <w:caps w:val="0"/>
          <w:color w:val="000000"/>
          <w:spacing w:val="0"/>
          <w:sz w:val="21"/>
          <w:szCs w:val="21"/>
          <w:shd w:val="clear" w:fill="FFFFFF"/>
        </w:rPr>
        <w:t>阐释中国立场、发出中国声音，产生较大国际影响；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lang w:val="en-US"/>
        </w:rPr>
        <w:t>4.</w:t>
      </w:r>
      <w:r>
        <w:rPr>
          <w:rFonts w:hint="eastAsia" w:ascii="微软雅黑" w:hAnsi="微软雅黑" w:eastAsia="微软雅黑" w:cs="微软雅黑"/>
          <w:i w:val="0"/>
          <w:iCs w:val="0"/>
          <w:caps w:val="0"/>
          <w:color w:val="000000"/>
          <w:spacing w:val="0"/>
          <w:sz w:val="21"/>
          <w:szCs w:val="21"/>
          <w:shd w:val="clear" w:fill="FFFFFF"/>
        </w:rPr>
        <w:t>在方法创新上有重大突破；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lang w:val="en-US"/>
        </w:rPr>
        <w:t>5.</w:t>
      </w:r>
      <w:r>
        <w:rPr>
          <w:rFonts w:hint="eastAsia" w:ascii="微软雅黑" w:hAnsi="微软雅黑" w:eastAsia="微软雅黑" w:cs="微软雅黑"/>
          <w:i w:val="0"/>
          <w:iCs w:val="0"/>
          <w:caps w:val="0"/>
          <w:color w:val="000000"/>
          <w:spacing w:val="0"/>
          <w:sz w:val="21"/>
          <w:szCs w:val="21"/>
          <w:shd w:val="clear" w:fill="FFFFFF"/>
        </w:rPr>
        <w:t>教育部认定在其他方面作出突出贡献的。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第二十二条 对于非研究项目资金中国家已规定开支标准的科目，应当严格按照国家有关规定执行；对于国家未规定开支标准的科目，各类非研究项目应当建立健全经费开支标准和管理制度。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第二十三条 非研究项目资金不得用于本办法第二十一条开支范围外的行政事业单位人员经费和公用经费。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管理资金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第二十四条 管理资金支出是指教育部在实施繁荣计划过程中发生的工作所需费用，包括组织、协调、评审、鉴定和奖励费用等。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第二十五条 按规定对“教育部科学研究优秀成果奖（人文社会科学）”、有价值高水平的咨政成果进行奖励。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第二十六条 管理资金在实施过程中，按照“管、办、评”分离原则，推进政府购买服务，规范向社会力量购买服务的程序和方式。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第五章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预算执行与决算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第二十七条 教育部根据部门预算编制要求，将繁荣计划专项资金三年支出规划和年度预算建议数报送财政部，财政部按部门预算程序审核后批复年度预算。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第二十八条 教育部根据繁荣计划不同类型科研活动特点、研究进度、资金需求等，合理制定经费拨付计划。教育部在项目任务书签订后</w:t>
      </w:r>
      <w:r>
        <w:rPr>
          <w:rFonts w:hint="eastAsia" w:ascii="微软雅黑" w:hAnsi="微软雅黑" w:eastAsia="微软雅黑" w:cs="微软雅黑"/>
          <w:i w:val="0"/>
          <w:iCs w:val="0"/>
          <w:caps w:val="0"/>
          <w:color w:val="000000"/>
          <w:spacing w:val="0"/>
          <w:sz w:val="21"/>
          <w:szCs w:val="21"/>
          <w:shd w:val="clear" w:fill="FFFFFF"/>
          <w:lang w:val="en-US"/>
        </w:rPr>
        <w:t>30</w:t>
      </w:r>
      <w:r>
        <w:rPr>
          <w:rFonts w:hint="eastAsia" w:ascii="微软雅黑" w:hAnsi="微软雅黑" w:eastAsia="微软雅黑" w:cs="微软雅黑"/>
          <w:i w:val="0"/>
          <w:iCs w:val="0"/>
          <w:caps w:val="0"/>
          <w:color w:val="000000"/>
          <w:spacing w:val="0"/>
          <w:sz w:val="21"/>
          <w:szCs w:val="21"/>
          <w:shd w:val="clear" w:fill="FFFFFF"/>
        </w:rPr>
        <w:t>日内向项目承担高校下达经费，首笔资金拨付比例充分尊重项目负责人意见，切实保障科研活动需要。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第二十九条 项目承担高校应当将资金纳入单位财务部门统一管理，单独核算，专款专用</w:t>
      </w:r>
      <w:r>
        <w:rPr>
          <w:rFonts w:hint="eastAsia" w:ascii="微软雅黑" w:hAnsi="微软雅黑" w:eastAsia="微软雅黑" w:cs="微软雅黑"/>
          <w:i w:val="0"/>
          <w:iCs w:val="0"/>
          <w:caps w:val="0"/>
          <w:color w:val="333333"/>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项目承担高校要根据项目负责人意见，及时将外拨资金拨付至项目合作单位，并加强对外拨资金的监督管理。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项目负责人应当结合科研活动需要，科学合理安排资金支出进度。项目承担高校应当关注资金执行进度，有效提高资金使用效益。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第三十条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333333"/>
          <w:spacing w:val="0"/>
          <w:sz w:val="21"/>
          <w:szCs w:val="21"/>
          <w:shd w:val="clear" w:fill="FFFFFF"/>
        </w:rPr>
        <w:t>繁荣计划专项资金按照国库集中支付制度规定拨付。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both"/>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shd w:val="clear" w:fill="FFFFFF"/>
        </w:rPr>
        <w:t>第三十一条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333333"/>
          <w:spacing w:val="0"/>
          <w:sz w:val="21"/>
          <w:szCs w:val="21"/>
          <w:shd w:val="clear" w:fill="FFFFFF"/>
        </w:rPr>
        <w:t>繁荣计划专项资金不得用于租赁办公场所和基础设施建设，不得用于开支各种罚款、捐赠、赞助、投资、偿还债务等，不得用于与项目工作无关的支出，严禁以任何方式牟取私利。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第三十二条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000000"/>
          <w:spacing w:val="0"/>
          <w:sz w:val="21"/>
          <w:szCs w:val="21"/>
          <w:shd w:val="clear" w:fill="FFFFFF"/>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专项资金支出属于政府采购范围的，应当按照政府采购有关规定执行。对科研急需的设备和耗材采取特事特办、随到随办的采购机制。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第三十三条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第三十四条 凡使用繁荣计划专项资金形成的固定资产、无形资产等属于国有资产，应当按照国有资产管理的有关规定执行。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第三十五条 项目承担高校要切实强化法人责任，严格按照国家有关规定和本办法规定，指导项目负责人科学合理编制预算，规范预算调剂程序，加强对外拨资金、间接费用、结转结余资金等的审核和管理。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第三十六条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第三十七条 项目承担高校应当改进财务报销管理方式，充分利用信息化手段，推动项目经费数字化、无纸化报销，建立符合科研实际需要的内部报销机制。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第三十八条 项目承担高校应将繁荣计划专项资金收支情况纳入单位年度决算统一编报。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第三十九条 完成研究后，项目负责人应当按照学校财务规定清理账目与资产，据实编报决算，并附财务部门审核确认的资金收支明细账，与结项验收材料一并报送教育部。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有外拨资金的项目，外拨资金决算经合作研究单位财务、审计部门审核并签署意见后，由项目负责人汇总编制项目资金决算。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第四十条 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对于非研究项目资金和管理资金，按照财政部关于结转结余资金管理有关规定执行。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第四十一条 对于因故被终止执行和被撤销的科研活动，应当视情节轻重分别作出退回结余资金、退回结余资金和绩效支出、退回已拨资金处理。项目承担高校应当及时清理账目与资产，在接到有关通知后</w:t>
      </w:r>
      <w:r>
        <w:rPr>
          <w:rFonts w:hint="eastAsia" w:ascii="微软雅黑" w:hAnsi="微软雅黑" w:eastAsia="微软雅黑" w:cs="微软雅黑"/>
          <w:i w:val="0"/>
          <w:iCs w:val="0"/>
          <w:caps w:val="0"/>
          <w:color w:val="000000"/>
          <w:spacing w:val="0"/>
          <w:sz w:val="21"/>
          <w:szCs w:val="21"/>
          <w:shd w:val="clear" w:fill="FFFFFF"/>
          <w:lang w:val="en-US"/>
        </w:rPr>
        <w:t>90</w:t>
      </w:r>
      <w:r>
        <w:rPr>
          <w:rFonts w:hint="eastAsia" w:ascii="微软雅黑" w:hAnsi="微软雅黑" w:eastAsia="微软雅黑" w:cs="微软雅黑"/>
          <w:i w:val="0"/>
          <w:iCs w:val="0"/>
          <w:caps w:val="0"/>
          <w:color w:val="000000"/>
          <w:spacing w:val="0"/>
          <w:sz w:val="21"/>
          <w:szCs w:val="21"/>
          <w:shd w:val="clear" w:fill="FFFFFF"/>
        </w:rPr>
        <w:t>日内按原渠道退回教育部。所退资金，由教育部统筹用于资助繁荣计划科研活动。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项目承担高校发生变更的，原承担高校应当及时向新承担高校转拨项目资金。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第六章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绩效管理与监督检查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第四十二条 教育部应进一步突出绩效导向，落实绩效管理责任，做好绩效目标管理，</w:t>
      </w:r>
      <w:r>
        <w:rPr>
          <w:rFonts w:hint="eastAsia" w:ascii="微软雅黑" w:hAnsi="微软雅黑" w:eastAsia="微软雅黑" w:cs="微软雅黑"/>
          <w:i w:val="0"/>
          <w:iCs w:val="0"/>
          <w:caps w:val="0"/>
          <w:color w:val="333333"/>
          <w:spacing w:val="0"/>
          <w:sz w:val="21"/>
          <w:szCs w:val="21"/>
          <w:shd w:val="clear" w:fill="FFFFFF"/>
        </w:rPr>
        <w:t>加强分类评价，强化绩效评价结果运用，将绩效评价结果作为科研活动调整、后续支持的重要依据。财政部根据工作需要对繁荣计划专项资金开展绩效评价。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项目承担高校要切实加强绩效管理，引导科研资源向优秀人才和团队倾斜，提高科研经费使用效益。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第四十三条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第四十四条 项目承担高校应当建立信息公开机制，在学校内部主动公开预算、预算调剂、决算、设备购置、外拨资金、劳务费发放、间接费用、结余资金使用等情况，自觉接受监督。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第四十五条 项目承担高校要动态监管经费使用并实时预警提醒。对项目承担高校和科研人员在科研经费管理使用过程中出现的失信情况，纳入信用记录管理，对严重失信行为实行追责和惩戒。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第四十六条 项目承担高校和项目负责人应当依法依规管理使用专项资金，不得存在以下行为：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（一）</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虚假编报项目预算；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（二）</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未对繁荣计划专项资金进行单独核算；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（三）</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列支与项目任务无关的支出；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（四）</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违反规定转拨项目资金；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（五）</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通过虚假合同、虚假票据、虚构事项、虚报人员等弄虚作假方式，转移、套取、报销项目资金；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（六）</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截留、挤占、挪用项目资金；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（七）</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设置账外账、随意调账变动支出、随意修改记账凭证、提供虚假财务会计资料等；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（八）</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在使用项目资金中以任何方式列支应由个人负担的有关费用和利用项目资金支付各种罚款、捐款、赞助、投资、偿还债务等；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（九）</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其他违反国家财经纪律的行为。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第四十七条</w:t>
      </w:r>
      <w:r>
        <w:rPr>
          <w:rFonts w:hint="eastAsia" w:ascii="微软雅黑" w:hAnsi="微软雅黑" w:eastAsia="微软雅黑" w:cs="微软雅黑"/>
          <w:i w:val="0"/>
          <w:iCs w:val="0"/>
          <w:caps w:val="0"/>
          <w:color w:val="333333"/>
          <w:spacing w:val="0"/>
          <w:sz w:val="16"/>
          <w:szCs w:val="16"/>
          <w:shd w:val="clear" w:fill="FFFFFF"/>
        </w:rPr>
        <w:t> </w:t>
      </w:r>
      <w:r>
        <w:rPr>
          <w:rFonts w:hint="eastAsia" w:ascii="微软雅黑" w:hAnsi="微软雅黑" w:eastAsia="微软雅黑" w:cs="微软雅黑"/>
          <w:i w:val="0"/>
          <w:iCs w:val="0"/>
          <w:caps w:val="0"/>
          <w:color w:val="333333"/>
          <w:spacing w:val="0"/>
          <w:sz w:val="21"/>
          <w:szCs w:val="21"/>
          <w:shd w:val="clear" w:fill="FFFFFF"/>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项目承担高校和项目负责人应当自觉接受审计监督、财会监督，自觉接受主管部门日常监督。</w:t>
      </w:r>
      <w:r>
        <w:rPr>
          <w:rFonts w:hint="eastAsia" w:ascii="微软雅黑" w:hAnsi="微软雅黑" w:eastAsia="微软雅黑" w:cs="微软雅黑"/>
          <w:i w:val="0"/>
          <w:iCs w:val="0"/>
          <w:caps w:val="0"/>
          <w:color w:val="333333"/>
          <w:spacing w:val="0"/>
          <w:sz w:val="21"/>
          <w:szCs w:val="21"/>
          <w:shd w:val="clear" w:fill="FFFFFF"/>
        </w:rPr>
        <w:t>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430"/>
        <w:jc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第七章</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附</w:t>
      </w:r>
      <w:r>
        <w:rPr>
          <w:rFonts w:hint="eastAsia" w:ascii="微软雅黑" w:hAnsi="微软雅黑" w:eastAsia="微软雅黑" w:cs="微软雅黑"/>
          <w:i w:val="0"/>
          <w:iCs w:val="0"/>
          <w:caps w:val="0"/>
          <w:color w:val="000000"/>
          <w:spacing w:val="0"/>
          <w:sz w:val="21"/>
          <w:szCs w:val="21"/>
          <w:shd w:val="clear" w:fill="FFFFFF"/>
          <w:lang w:val="en-US"/>
        </w:rPr>
        <w:t> </w:t>
      </w:r>
      <w:r>
        <w:rPr>
          <w:rFonts w:hint="eastAsia" w:ascii="微软雅黑" w:hAnsi="微软雅黑" w:eastAsia="微软雅黑" w:cs="微软雅黑"/>
          <w:i w:val="0"/>
          <w:iCs w:val="0"/>
          <w:caps w:val="0"/>
          <w:color w:val="000000"/>
          <w:spacing w:val="0"/>
          <w:sz w:val="21"/>
          <w:szCs w:val="21"/>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第四十八条 本办法由财政部、教育部负责解释。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第四十九条 本办法自颁布之日起施行。2016年11月24日财政部、教育部印发的《高等学校哲学社会科学繁荣计划专项资金管理办法》（财教〔2016〕317号）同时废止。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3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000000"/>
          <w:spacing w:val="0"/>
          <w:sz w:val="21"/>
          <w:szCs w:val="21"/>
          <w:shd w:val="clear" w:fill="FFFFFF"/>
        </w:rPr>
        <w:t>第五十条 各项目承担高校要依据本办法修订完善内部相关管理办法。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4664D"/>
    <w:rsid w:val="25937F79"/>
    <w:rsid w:val="7270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2022-02-14T03:52:00Z</dcterms:created>
  <dc:creator>admin</dc:creator>
  <cp:lastModifiedBy>admin</cp:lastModifiedBy>
  <dcterms:modified xsi:type="dcterms:W3CDTF">2022-02-14T03:58:24Z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30370D4A910C430AB1F4499FF9050A26</vt:lpwstr>
  </property>
</Properties>
</file>