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2021年度山东省社会科学规划研究专项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课题指南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2021年度山东省社会科学规划研究专项总的指导思想是：高举中国特色社会主义伟大旗帜，以习近平新时代中国特色社会主义思想为指导，深入贯彻落实党的十九大和十九届二中、三中、四中、五中全会精神，深入学习贯彻习近平总书记视察山东重要讲话和重要指示批示精神，紧紧围绕“十四五”开局、庆祝建党一百周年和新时代现代化强省建设目标任务，以及省委确定的其他重点任务、重要战略部署，发挥省社科规划研究项目的示范引导作用，为“十四五”开好局、起好步和开启新时代现代化强省建设新征程提供有力的理论支撑和智力支持。</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2021年度山东省社会科学规划研究专项包括：习近平新时代中国特色社会主义思想研究专项、庆祝中国共产党成立一百周年研究专项、马克思主义大众化研究专项、沂蒙精神研究专项、山东省重大理论与现实问题协同创新研究专项、高校思想政治教育研究专项、打造山东对外开放新高地研究专项、数字山东研究专项、平安山东法治山东建设研究专项、弘扬中华优秀传统文化研究专项、文化旅游研究专项、山东人才研究专项、</w:t>
      </w:r>
      <w:r>
        <w:rPr>
          <w:rFonts w:hint="eastAsia" w:ascii="仿宋_GB2312" w:hAnsi="仿宋_GB2312" w:eastAsia="仿宋_GB2312" w:cs="仿宋_GB2312"/>
          <w:b/>
          <w:bCs/>
          <w:color w:val="auto"/>
          <w:sz w:val="32"/>
          <w:szCs w:val="32"/>
          <w:highlight w:val="none"/>
          <w:lang w:val="en-US" w:eastAsia="zh-CN"/>
        </w:rPr>
        <w:t>志</w:t>
      </w:r>
      <w:r>
        <w:rPr>
          <w:rFonts w:hint="eastAsia" w:ascii="仿宋_GB2312" w:hAnsi="仿宋_GB2312" w:eastAsia="仿宋_GB2312" w:cs="仿宋_GB2312"/>
          <w:b/>
          <w:bCs/>
          <w:sz w:val="32"/>
          <w:szCs w:val="32"/>
          <w:highlight w:val="none"/>
          <w:lang w:val="en-US" w:eastAsia="zh-CN"/>
        </w:rPr>
        <w:t>愿服务理论研究专项。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申请人应结合我省经济社会发展及学科建设实际，合理设计选题。基础理论研究，要着力推出有分量有深度的研究成果。应用对策研究，要力求提出具有针对性、可操作性的对策建议，为各级党委和政府决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一、习近平新时代中国特色社会主义思想研究专项 </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该专项旨在为</w:t>
      </w:r>
      <w:r>
        <w:rPr>
          <w:rFonts w:hint="eastAsia" w:ascii="楷体_GB2312" w:hAnsi="楷体_GB2312" w:eastAsia="楷体_GB2312" w:cs="楷体_GB2312"/>
          <w:b/>
          <w:bCs/>
          <w:color w:val="auto"/>
          <w:sz w:val="32"/>
          <w:szCs w:val="32"/>
          <w:highlight w:val="none"/>
        </w:rPr>
        <w:t>深化研究阐释中国特色社会主义理论体系特别是习近平新时代中国特色社会主义思想</w:t>
      </w:r>
      <w:r>
        <w:rPr>
          <w:rFonts w:hint="eastAsia" w:ascii="楷体_GB2312" w:hAnsi="楷体_GB2312" w:eastAsia="楷体_GB2312" w:cs="楷体_GB2312"/>
          <w:b/>
          <w:bCs/>
          <w:color w:val="auto"/>
          <w:sz w:val="32"/>
          <w:szCs w:val="32"/>
          <w:highlight w:val="none"/>
          <w:lang w:eastAsia="zh-CN"/>
        </w:rPr>
        <w:t>设立，</w:t>
      </w:r>
      <w:r>
        <w:rPr>
          <w:rFonts w:hint="eastAsia" w:ascii="楷体_GB2312" w:hAnsi="楷体_GB2312" w:eastAsia="楷体_GB2312" w:cs="楷体_GB2312"/>
          <w:b/>
          <w:bCs/>
          <w:color w:val="auto"/>
          <w:sz w:val="32"/>
          <w:szCs w:val="32"/>
          <w:highlight w:val="none"/>
        </w:rPr>
        <w:t>同时列入山东省中国特色社会主义理论体系研究中心（中共山东省委习近平新时代中国特色社会主义思想研究中心）重点项目。</w:t>
      </w:r>
      <w:r>
        <w:rPr>
          <w:rFonts w:hint="eastAsia" w:ascii="楷体_GB2312" w:hAnsi="楷体_GB2312" w:eastAsia="楷体_GB2312" w:cs="楷体_GB2312"/>
          <w:b/>
          <w:bCs/>
          <w:color w:val="auto"/>
          <w:sz w:val="32"/>
          <w:szCs w:val="32"/>
          <w:highlight w:val="none"/>
          <w:shd w:val="clear" w:color="auto" w:fill="FFFFFF"/>
        </w:rPr>
        <w:t>全省公办普通本科院校及科研机构均可申报。</w:t>
      </w:r>
      <w:r>
        <w:rPr>
          <w:rFonts w:hint="eastAsia" w:ascii="楷体_GB2312" w:hAnsi="楷体_GB2312" w:eastAsia="楷体_GB2312" w:cs="楷体_GB2312"/>
          <w:b/>
          <w:bCs/>
          <w:color w:val="auto"/>
          <w:sz w:val="32"/>
          <w:szCs w:val="32"/>
          <w:highlight w:val="none"/>
          <w:shd w:val="clear" w:color="auto" w:fill="FFFFFF"/>
          <w:lang w:eastAsia="zh-CN"/>
        </w:rPr>
        <w:t>成果形式为研究报告或专著。</w:t>
      </w:r>
      <w:r>
        <w:rPr>
          <w:rFonts w:hint="eastAsia" w:ascii="楷体_GB2312" w:hAnsi="楷体_GB2312" w:eastAsia="楷体_GB2312" w:cs="楷体_GB2312"/>
          <w:b/>
          <w:bCs/>
          <w:color w:val="auto"/>
          <w:sz w:val="32"/>
          <w:szCs w:val="32"/>
          <w:highlight w:val="none"/>
        </w:rPr>
        <w:t>研究时限一般为</w:t>
      </w:r>
      <w:r>
        <w:rPr>
          <w:rFonts w:hint="eastAsia" w:ascii="楷体_GB2312" w:hAnsi="楷体_GB2312" w:eastAsia="楷体_GB2312" w:cs="楷体_GB2312"/>
          <w:b/>
          <w:bCs/>
          <w:color w:val="auto"/>
          <w:sz w:val="32"/>
          <w:szCs w:val="32"/>
          <w:highlight w:val="none"/>
          <w:lang w:val="en-US" w:eastAsia="zh-CN"/>
        </w:rPr>
        <w:t>2</w:t>
      </w:r>
      <w:r>
        <w:rPr>
          <w:rFonts w:hint="eastAsia" w:ascii="楷体_GB2312" w:hAnsi="楷体_GB2312" w:eastAsia="楷体_GB2312" w:cs="楷体_GB2312"/>
          <w:b/>
          <w:bCs/>
          <w:color w:val="auto"/>
          <w:sz w:val="32"/>
          <w:szCs w:val="32"/>
          <w:highlight w:val="none"/>
          <w:lang w:eastAsia="zh-CN"/>
        </w:rPr>
        <w:t>年</w:t>
      </w:r>
      <w:r>
        <w:rPr>
          <w:rFonts w:hint="eastAsia" w:ascii="楷体_GB2312" w:hAnsi="楷体_GB2312" w:eastAsia="楷体_GB2312" w:cs="楷体_GB2312"/>
          <w:b/>
          <w:bCs/>
          <w:color w:val="auto"/>
          <w:sz w:val="32"/>
          <w:szCs w:val="32"/>
          <w:highlight w:val="none"/>
        </w:rPr>
        <w:t>，特殊情况可申请延期一次，延期最长不超过6个月</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课题</w:t>
      </w:r>
      <w:r>
        <w:rPr>
          <w:rFonts w:hint="eastAsia" w:ascii="楷体_GB2312" w:hAnsi="楷体_GB2312" w:eastAsia="楷体_GB2312" w:cs="楷体_GB2312"/>
          <w:b/>
          <w:bCs/>
          <w:color w:val="auto"/>
          <w:sz w:val="32"/>
          <w:szCs w:val="32"/>
          <w:highlight w:val="none"/>
          <w:lang w:eastAsia="zh-CN"/>
        </w:rPr>
        <w:t>须</w:t>
      </w:r>
      <w:r>
        <w:rPr>
          <w:rFonts w:hint="eastAsia" w:ascii="楷体_GB2312" w:hAnsi="楷体_GB2312" w:eastAsia="楷体_GB2312" w:cs="楷体_GB2312"/>
          <w:b/>
          <w:bCs/>
          <w:color w:val="auto"/>
          <w:sz w:val="32"/>
          <w:szCs w:val="32"/>
          <w:highlight w:val="none"/>
        </w:rPr>
        <w:t>在《人民日报》《光明日报》《经济日报》《求是》杂志等中央主要媒体发表</w:t>
      </w:r>
      <w:r>
        <w:rPr>
          <w:rFonts w:hint="eastAsia" w:ascii="楷体_GB2312" w:hAnsi="楷体_GB2312" w:eastAsia="楷体_GB2312" w:cs="楷体_GB2312"/>
          <w:b/>
          <w:bCs/>
          <w:color w:val="auto"/>
          <w:sz w:val="32"/>
          <w:szCs w:val="32"/>
          <w:highlight w:val="none"/>
          <w:lang w:eastAsia="zh-CN"/>
        </w:rPr>
        <w:t>至少</w:t>
      </w:r>
      <w:r>
        <w:rPr>
          <w:rFonts w:hint="eastAsia" w:ascii="楷体_GB2312" w:hAnsi="楷体_GB2312" w:eastAsia="楷体_GB2312" w:cs="楷体_GB2312"/>
          <w:b/>
          <w:bCs/>
          <w:color w:val="auto"/>
          <w:sz w:val="32"/>
          <w:szCs w:val="32"/>
          <w:highlight w:val="none"/>
        </w:rPr>
        <w:t>1篇（字数不少于2000字）理论文章</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专著应在省级以上有正规资质的出版社公开出版，才能申请结项。公开发表、出版必须注明“山东省中国特色社会主义理论体系研究中心”字样。</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15项。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习近平关于党的建设基本规律重要论述研究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习近平关于党史、新中国史、改革开放史、社会主义发展史重要论述研究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习近平法治思想研究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习近平关于伟大抗疫精神重要论述研究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5.习近平关于构建人类卫生健康共同体重要论述研究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6.习近平关于高质量发展重要论述研究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7.坚持马克思主义在意识形态领域指导地位的根本制度研究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lang w:eastAsia="zh-CN"/>
        </w:rPr>
        <w:t>以高质量发展推进文化强国建设研究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lang w:eastAsia="zh-CN"/>
        </w:rPr>
        <w:t>完整准确全面贯彻新发展理念研究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中国特色反贫困理论研究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lang w:eastAsia="zh-CN"/>
        </w:rPr>
        <w:t>坚持全体人民共同富裕取得更为明显实质性进展研究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统筹中华民族伟大复兴战略全局和世界百年未有之大变局研究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13.黄河流域生态保护和高质量发展战略研究</w:t>
      </w:r>
    </w:p>
    <w:p>
      <w:pPr>
        <w:pStyle w:val="2"/>
        <w:spacing w:line="600" w:lineRule="exact"/>
        <w:rPr>
          <w:rFonts w:hint="eastAsia"/>
          <w:color w:val="FF000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二、庆祝中国共产党成立一百周年研究专项</w:t>
      </w:r>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eastAsia" w:ascii="楷体_GB2312" w:hAnsi="楷体_GB2312" w:eastAsia="楷体_GB2312" w:cs="楷体_GB2312"/>
          <w:b/>
          <w:bCs w:val="0"/>
          <w:color w:val="auto"/>
          <w:sz w:val="32"/>
          <w:szCs w:val="21"/>
          <w:highlight w:val="none"/>
          <w:lang w:val="en-US" w:eastAsia="zh-CN"/>
        </w:rPr>
      </w:pPr>
      <w:r>
        <w:rPr>
          <w:rFonts w:hint="eastAsia" w:ascii="楷体_GB2312" w:hAnsi="楷体_GB2312" w:eastAsia="楷体_GB2312" w:cs="楷体_GB2312"/>
          <w:b/>
          <w:bCs w:val="0"/>
          <w:sz w:val="32"/>
          <w:szCs w:val="32"/>
          <w:highlight w:val="none"/>
        </w:rPr>
        <w:t>该专项研究紧紧围绕</w:t>
      </w:r>
      <w:r>
        <w:rPr>
          <w:rFonts w:hint="eastAsia" w:ascii="楷体_GB2312" w:hAnsi="楷体_GB2312" w:eastAsia="楷体_GB2312" w:cs="楷体_GB2312"/>
          <w:b/>
          <w:bCs w:val="0"/>
          <w:sz w:val="32"/>
          <w:szCs w:val="32"/>
          <w:highlight w:val="none"/>
          <w:lang w:val="en-US" w:eastAsia="zh-CN"/>
        </w:rPr>
        <w:t>庆祝建党一百周年设立，</w:t>
      </w:r>
      <w:r>
        <w:rPr>
          <w:rFonts w:hint="eastAsia" w:ascii="楷体_GB2312" w:hAnsi="楷体_GB2312" w:eastAsia="楷体_GB2312" w:cs="楷体_GB2312"/>
          <w:b/>
          <w:bCs w:val="0"/>
          <w:color w:val="auto"/>
          <w:sz w:val="32"/>
          <w:szCs w:val="32"/>
          <w:highlight w:val="none"/>
          <w:lang w:val="en-US" w:eastAsia="zh-CN"/>
        </w:rPr>
        <w:t>由两部分组成：“中共山东党史研究专题”和“党的建设理论与实践研究专题”。申报</w:t>
      </w:r>
      <w:r>
        <w:rPr>
          <w:rFonts w:hint="eastAsia" w:ascii="楷体_GB2312" w:hAnsi="楷体_GB2312" w:eastAsia="楷体_GB2312" w:cs="楷体_GB2312"/>
          <w:b/>
          <w:bCs w:val="0"/>
          <w:color w:val="auto"/>
          <w:sz w:val="32"/>
          <w:szCs w:val="32"/>
          <w:highlight w:val="none"/>
        </w:rPr>
        <w:t>者可以按照选题确定的方向，</w:t>
      </w:r>
      <w:r>
        <w:rPr>
          <w:rFonts w:hint="eastAsia" w:ascii="楷体_GB2312" w:hAnsi="楷体_GB2312" w:eastAsia="楷体_GB2312" w:cs="楷体_GB2312"/>
          <w:b/>
          <w:bCs w:val="0"/>
          <w:color w:val="auto"/>
          <w:sz w:val="32"/>
          <w:szCs w:val="21"/>
          <w:highlight w:val="none"/>
        </w:rPr>
        <w:t>选择不同的角度自行</w:t>
      </w:r>
      <w:r>
        <w:rPr>
          <w:rFonts w:hint="eastAsia" w:ascii="楷体_GB2312" w:hAnsi="楷体_GB2312" w:eastAsia="楷体_GB2312" w:cs="楷体_GB2312"/>
          <w:b/>
          <w:bCs w:val="0"/>
          <w:color w:val="auto"/>
          <w:sz w:val="32"/>
          <w:szCs w:val="21"/>
          <w:highlight w:val="none"/>
          <w:lang w:eastAsia="zh-CN"/>
        </w:rPr>
        <w:t>设计</w:t>
      </w:r>
      <w:r>
        <w:rPr>
          <w:rFonts w:hint="eastAsia" w:ascii="楷体_GB2312" w:hAnsi="楷体_GB2312" w:eastAsia="楷体_GB2312" w:cs="楷体_GB2312"/>
          <w:b/>
          <w:bCs w:val="0"/>
          <w:color w:val="auto"/>
          <w:sz w:val="32"/>
          <w:szCs w:val="21"/>
          <w:highlight w:val="none"/>
        </w:rPr>
        <w:t>具体</w:t>
      </w:r>
      <w:r>
        <w:rPr>
          <w:rFonts w:hint="eastAsia" w:ascii="楷体_GB2312" w:hAnsi="楷体_GB2312" w:eastAsia="楷体_GB2312" w:cs="楷体_GB2312"/>
          <w:b/>
          <w:bCs w:val="0"/>
          <w:color w:val="auto"/>
          <w:sz w:val="32"/>
          <w:szCs w:val="21"/>
          <w:highlight w:val="none"/>
          <w:lang w:eastAsia="zh-CN"/>
        </w:rPr>
        <w:t>研究</w:t>
      </w:r>
      <w:r>
        <w:rPr>
          <w:rFonts w:hint="eastAsia" w:ascii="楷体_GB2312" w:hAnsi="楷体_GB2312" w:eastAsia="楷体_GB2312" w:cs="楷体_GB2312"/>
          <w:b/>
          <w:bCs w:val="0"/>
          <w:color w:val="auto"/>
          <w:sz w:val="32"/>
          <w:szCs w:val="21"/>
          <w:highlight w:val="none"/>
        </w:rPr>
        <w:t>题目。</w:t>
      </w:r>
      <w:r>
        <w:rPr>
          <w:rFonts w:hint="eastAsia" w:ascii="楷体_GB2312" w:hAnsi="楷体_GB2312" w:eastAsia="楷体_GB2312" w:cs="楷体_GB2312"/>
          <w:b/>
          <w:bCs w:val="0"/>
          <w:color w:val="auto"/>
          <w:sz w:val="32"/>
          <w:szCs w:val="21"/>
          <w:highlight w:val="none"/>
          <w:lang w:val="en-US" w:eastAsia="zh-CN"/>
        </w:rPr>
        <w:t xml:space="preserve">  </w:t>
      </w:r>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default"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中共山东党史研究专题</w:t>
      </w:r>
      <w:r>
        <w:rPr>
          <w:rFonts w:hint="eastAsia" w:ascii="楷体_GB2312" w:hAnsi="楷体_GB2312" w:eastAsia="楷体_GB2312" w:cs="楷体_GB2312"/>
          <w:b/>
          <w:bCs w:val="0"/>
          <w:sz w:val="32"/>
          <w:szCs w:val="32"/>
          <w:highlight w:val="none"/>
          <w:lang w:eastAsia="zh-CN"/>
        </w:rPr>
        <w:t>成果形式为研究报告。完成时限2年。计划立项</w:t>
      </w:r>
      <w:r>
        <w:rPr>
          <w:rFonts w:hint="eastAsia" w:ascii="楷体_GB2312" w:hAnsi="楷体_GB2312" w:eastAsia="楷体_GB2312" w:cs="楷体_GB2312"/>
          <w:b/>
          <w:bCs w:val="0"/>
          <w:sz w:val="32"/>
          <w:szCs w:val="32"/>
          <w:highlight w:val="none"/>
          <w:lang w:val="en-US" w:eastAsia="zh-CN"/>
        </w:rPr>
        <w:t>30项。申报材料中的项目类别为“中共山东党史研究专题”。</w:t>
      </w:r>
      <w:bookmarkStart w:id="0" w:name="_GoBack"/>
      <w:bookmarkEnd w:id="0"/>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eastAsia" w:ascii="楷体_GB2312" w:hAnsi="楷体_GB2312" w:eastAsia="楷体_GB2312" w:cs="楷体_GB2312"/>
          <w:b/>
          <w:bCs w:val="0"/>
          <w:sz w:val="32"/>
          <w:szCs w:val="32"/>
          <w:highlight w:val="none"/>
          <w:lang w:eastAsia="zh-CN"/>
        </w:rPr>
      </w:pPr>
      <w:r>
        <w:rPr>
          <w:rFonts w:hint="eastAsia" w:ascii="楷体_GB2312" w:hAnsi="楷体_GB2312" w:eastAsia="楷体_GB2312" w:cs="楷体_GB2312"/>
          <w:b/>
          <w:bCs w:val="0"/>
          <w:sz w:val="32"/>
          <w:szCs w:val="32"/>
          <w:highlight w:val="none"/>
          <w:lang w:eastAsia="zh-CN"/>
        </w:rPr>
        <w:t>党的建设理论与实践研究专</w:t>
      </w:r>
      <w:r>
        <w:rPr>
          <w:rFonts w:hint="eastAsia" w:ascii="楷体_GB2312" w:hAnsi="楷体_GB2312" w:eastAsia="楷体_GB2312" w:cs="楷体_GB2312"/>
          <w:b/>
          <w:bCs w:val="0"/>
          <w:sz w:val="32"/>
          <w:szCs w:val="32"/>
          <w:highlight w:val="none"/>
          <w:lang w:val="en-US" w:eastAsia="zh-CN"/>
        </w:rPr>
        <w:t>题，</w:t>
      </w:r>
      <w:r>
        <w:rPr>
          <w:rFonts w:hint="eastAsia" w:ascii="楷体_GB2312" w:hAnsi="楷体_GB2312" w:eastAsia="楷体_GB2312" w:cs="楷体_GB2312"/>
          <w:b/>
          <w:bCs/>
          <w:color w:val="auto"/>
          <w:sz w:val="32"/>
          <w:szCs w:val="32"/>
          <w:highlight w:val="none"/>
          <w:lang w:val="en-US" w:eastAsia="zh-CN"/>
        </w:rPr>
        <w:t>社科研究机构、高等院校、市级以上党校及党史研究院凡具有副高以上职称或者博士学位的研究人员均可申报。</w:t>
      </w:r>
      <w:r>
        <w:rPr>
          <w:rFonts w:hint="eastAsia" w:ascii="楷体_GB2312" w:hAnsi="楷体_GB2312" w:eastAsia="楷体_GB2312" w:cs="楷体_GB2312"/>
          <w:b/>
          <w:bCs w:val="0"/>
          <w:sz w:val="32"/>
          <w:szCs w:val="32"/>
          <w:highlight w:val="none"/>
          <w:lang w:eastAsia="zh-CN"/>
        </w:rPr>
        <w:t>成果形式为研究报告的，申请结项时，重点项目需报送在全国中文核心期刊、中国人文社会科学核心期刊发表的阶段性研究成果2篇（其中1篇需是CSSCI来源期刊）；一般项目需报送在全国中文核心期刊、中国人文社会科学核心期刊发表的阶段性研究成果1篇。重点项目完成时限一般不超过2年，一般项目完成时限一般不超过1年。计划立项25项，其中重点项目</w:t>
      </w:r>
      <w:r>
        <w:rPr>
          <w:rFonts w:hint="eastAsia" w:ascii="楷体_GB2312" w:hAnsi="楷体_GB2312" w:eastAsia="楷体_GB2312" w:cs="楷体_GB2312"/>
          <w:b/>
          <w:bCs w:val="0"/>
          <w:sz w:val="32"/>
          <w:szCs w:val="32"/>
          <w:highlight w:val="none"/>
          <w:lang w:val="en-US" w:eastAsia="zh-CN"/>
        </w:rPr>
        <w:t>4</w:t>
      </w:r>
      <w:r>
        <w:rPr>
          <w:rFonts w:hint="eastAsia" w:ascii="楷体_GB2312" w:hAnsi="楷体_GB2312" w:eastAsia="楷体_GB2312" w:cs="楷体_GB2312"/>
          <w:b/>
          <w:bCs w:val="0"/>
          <w:sz w:val="32"/>
          <w:szCs w:val="32"/>
          <w:highlight w:val="none"/>
          <w:lang w:eastAsia="zh-CN"/>
        </w:rPr>
        <w:t>项，一般项目</w:t>
      </w:r>
      <w:r>
        <w:rPr>
          <w:rFonts w:hint="eastAsia" w:ascii="楷体_GB2312" w:hAnsi="楷体_GB2312" w:eastAsia="楷体_GB2312" w:cs="楷体_GB2312"/>
          <w:b/>
          <w:bCs w:val="0"/>
          <w:sz w:val="32"/>
          <w:szCs w:val="32"/>
          <w:highlight w:val="none"/>
          <w:lang w:val="en-US" w:eastAsia="zh-CN"/>
        </w:rPr>
        <w:t>21</w:t>
      </w:r>
      <w:r>
        <w:rPr>
          <w:rFonts w:hint="eastAsia" w:ascii="楷体_GB2312" w:hAnsi="楷体_GB2312" w:eastAsia="楷体_GB2312" w:cs="楷体_GB2312"/>
          <w:b/>
          <w:bCs w:val="0"/>
          <w:sz w:val="32"/>
          <w:szCs w:val="32"/>
          <w:highlight w:val="none"/>
          <w:lang w:eastAsia="zh-CN"/>
        </w:rPr>
        <w:t>项。</w:t>
      </w:r>
      <w:r>
        <w:rPr>
          <w:rFonts w:hint="eastAsia" w:ascii="楷体_GB2312" w:hAnsi="楷体_GB2312" w:eastAsia="楷体_GB2312" w:cs="楷体_GB2312"/>
          <w:b/>
          <w:bCs w:val="0"/>
          <w:sz w:val="32"/>
          <w:szCs w:val="32"/>
          <w:highlight w:val="none"/>
          <w:lang w:val="en-US" w:eastAsia="zh-CN"/>
        </w:rPr>
        <w:t>申报材料中的项目类别为</w:t>
      </w:r>
      <w:r>
        <w:rPr>
          <w:rFonts w:hint="eastAsia" w:ascii="楷体_GB2312" w:hAnsi="楷体_GB2312" w:eastAsia="楷体_GB2312" w:cs="楷体_GB2312"/>
          <w:b/>
          <w:bCs w:val="0"/>
          <w:color w:val="auto"/>
          <w:sz w:val="32"/>
          <w:szCs w:val="32"/>
          <w:highlight w:val="none"/>
          <w:lang w:val="en-US" w:eastAsia="zh-CN"/>
        </w:rPr>
        <w:t>“党的建设理论与实践研究专题”。</w:t>
      </w:r>
    </w:p>
    <w:p>
      <w:pPr>
        <w:pStyle w:val="2"/>
        <w:spacing w:line="600" w:lineRule="exact"/>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中共山东党史研究专题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1.百年视阈下党的理论创新在山东实践研究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2.百年视阈下山东党组织践行初心使命研究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3.百年视阈下山东党组织应对风险挑战研究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4.百年视阈下山东党组织推进自我革命研究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5.百年视阈下山东红色基因的历史内涵和时代价值研究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6.山东重要党史事件、重要党史人物与百年大党研究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7.山东地方志编纂及旧志整理研究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8.山东方志与优秀传统文化传承研究</w:t>
      </w:r>
    </w:p>
    <w:p>
      <w:pPr>
        <w:pStyle w:val="2"/>
        <w:spacing w:line="600" w:lineRule="exact"/>
        <w:rPr>
          <w:rFonts w:hint="eastAsia"/>
          <w:sz w:val="32"/>
          <w:szCs w:val="32"/>
          <w:highlight w:val="none"/>
          <w:lang w:val="en-US" w:eastAsia="zh-CN"/>
        </w:rPr>
      </w:pPr>
    </w:p>
    <w:p>
      <w:pPr>
        <w:pStyle w:val="2"/>
        <w:spacing w:line="600" w:lineRule="exact"/>
        <w:ind w:firstLine="643"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党的建设理论与实践研究专题  </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1.习近平总书记关于新时代全面加强党的建设重要论述研究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2.贯彻落实习近平总书记关于党的建设重要论述的山东实践和典型案例研究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3.提高党的建设质量研究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4.建党百年与百年党建研究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5.党的理论创新、实践创造和历史经验研究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三、马克思主义大众化研究专项 </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该专项主要围绕如何让马克思主义真理走入大众之中，让党的最新理论成果“飞入寻常百姓家”展开研究，引导人们用马克思主义立场观点方法分析研究现实问题。研究成果力求对基层理论宣讲工作具有指导意义。</w:t>
      </w:r>
      <w:r>
        <w:rPr>
          <w:rFonts w:hint="eastAsia" w:ascii="楷体_GB2312" w:hAnsi="楷体_GB2312" w:eastAsia="楷体_GB2312" w:cs="楷体_GB2312"/>
          <w:b/>
          <w:bCs/>
          <w:color w:val="auto"/>
          <w:sz w:val="32"/>
          <w:szCs w:val="32"/>
          <w:highlight w:val="none"/>
        </w:rPr>
        <w:t>鼓励高校、党校等与各级党委讲师团人员联合申报、协同创新，打造高质量研究成果</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高校、党校人员申报时，不</w:t>
      </w:r>
      <w:r>
        <w:rPr>
          <w:rFonts w:hint="eastAsia" w:ascii="楷体_GB2312" w:hAnsi="楷体_GB2312" w:eastAsia="楷体_GB2312" w:cs="楷体_GB2312"/>
          <w:b/>
          <w:bCs/>
          <w:color w:val="auto"/>
          <w:sz w:val="32"/>
          <w:szCs w:val="32"/>
          <w:highlight w:val="none"/>
          <w:lang w:eastAsia="zh-CN"/>
        </w:rPr>
        <w:t>得</w:t>
      </w:r>
      <w:r>
        <w:rPr>
          <w:rFonts w:hint="eastAsia" w:ascii="楷体_GB2312" w:hAnsi="楷体_GB2312" w:eastAsia="楷体_GB2312" w:cs="楷体_GB2312"/>
          <w:b/>
          <w:bCs/>
          <w:color w:val="auto"/>
          <w:sz w:val="32"/>
          <w:szCs w:val="32"/>
          <w:highlight w:val="none"/>
        </w:rPr>
        <w:t>以宣讲工作者协会会员和宣</w:t>
      </w:r>
      <w:r>
        <w:rPr>
          <w:rFonts w:hint="eastAsia" w:ascii="楷体_GB2312" w:hAnsi="楷体_GB2312" w:eastAsia="楷体_GB2312" w:cs="楷体_GB2312"/>
          <w:b/>
          <w:bCs/>
          <w:color w:val="auto"/>
          <w:sz w:val="32"/>
          <w:szCs w:val="32"/>
          <w:highlight w:val="none"/>
          <w:lang w:eastAsia="zh-CN"/>
        </w:rPr>
        <w:t>讲</w:t>
      </w:r>
      <w:r>
        <w:rPr>
          <w:rFonts w:hint="eastAsia" w:ascii="楷体_GB2312" w:hAnsi="楷体_GB2312" w:eastAsia="楷体_GB2312" w:cs="楷体_GB2312"/>
          <w:b/>
          <w:bCs/>
          <w:color w:val="auto"/>
          <w:sz w:val="32"/>
          <w:szCs w:val="32"/>
          <w:highlight w:val="none"/>
        </w:rPr>
        <w:t>基地人员名义进行申报。</w:t>
      </w:r>
      <w:r>
        <w:rPr>
          <w:rFonts w:hint="eastAsia" w:ascii="楷体_GB2312" w:hAnsi="楷体_GB2312" w:eastAsia="楷体_GB2312" w:cs="楷体_GB2312"/>
          <w:b/>
          <w:bCs/>
          <w:color w:val="auto"/>
          <w:sz w:val="32"/>
          <w:szCs w:val="32"/>
          <w:highlight w:val="none"/>
          <w:lang w:eastAsia="zh-CN"/>
        </w:rPr>
        <w:t>研究</w:t>
      </w:r>
      <w:r>
        <w:rPr>
          <w:rFonts w:hint="eastAsia" w:ascii="楷体_GB2312" w:hAnsi="楷体_GB2312" w:eastAsia="楷体_GB2312" w:cs="楷体_GB2312"/>
          <w:b/>
          <w:bCs/>
          <w:color w:val="auto"/>
          <w:sz w:val="32"/>
          <w:szCs w:val="32"/>
          <w:highlight w:val="none"/>
        </w:rPr>
        <w:t>成果可以研究报告或通俗理论读物等形式报送。</w:t>
      </w:r>
      <w:r>
        <w:rPr>
          <w:rFonts w:hint="eastAsia" w:ascii="楷体_GB2312" w:hAnsi="楷体_GB2312" w:eastAsia="楷体_GB2312" w:cs="楷体_GB2312"/>
          <w:b/>
          <w:bCs/>
          <w:color w:val="auto"/>
          <w:sz w:val="32"/>
          <w:szCs w:val="32"/>
          <w:highlight w:val="none"/>
          <w:lang w:eastAsia="zh-CN"/>
        </w:rPr>
        <w:t>成</w:t>
      </w:r>
      <w:r>
        <w:rPr>
          <w:rFonts w:hint="eastAsia" w:ascii="楷体_GB2312" w:hAnsi="楷体_GB2312" w:eastAsia="楷体_GB2312" w:cs="楷体_GB2312"/>
          <w:b/>
          <w:bCs/>
          <w:color w:val="auto"/>
          <w:sz w:val="32"/>
          <w:szCs w:val="32"/>
          <w:highlight w:val="none"/>
        </w:rPr>
        <w:t>果形式</w:t>
      </w: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研究报告</w:t>
      </w:r>
      <w:r>
        <w:rPr>
          <w:rFonts w:hint="eastAsia" w:ascii="楷体_GB2312" w:hAnsi="楷体_GB2312" w:eastAsia="楷体_GB2312" w:cs="楷体_GB2312"/>
          <w:b/>
          <w:bCs/>
          <w:color w:val="auto"/>
          <w:sz w:val="32"/>
          <w:szCs w:val="32"/>
          <w:highlight w:val="none"/>
          <w:lang w:eastAsia="zh-CN"/>
        </w:rPr>
        <w:t>的</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申请</w:t>
      </w:r>
      <w:r>
        <w:rPr>
          <w:rFonts w:hint="eastAsia" w:ascii="楷体_GB2312" w:hAnsi="楷体_GB2312" w:eastAsia="楷体_GB2312" w:cs="楷体_GB2312"/>
          <w:b/>
          <w:bCs/>
          <w:color w:val="auto"/>
          <w:sz w:val="32"/>
          <w:szCs w:val="32"/>
          <w:highlight w:val="none"/>
        </w:rPr>
        <w:t>结项</w:t>
      </w:r>
      <w:r>
        <w:rPr>
          <w:rFonts w:hint="eastAsia" w:ascii="楷体_GB2312" w:hAnsi="楷体_GB2312" w:eastAsia="楷体_GB2312" w:cs="楷体_GB2312"/>
          <w:b/>
          <w:bCs/>
          <w:color w:val="auto"/>
          <w:sz w:val="32"/>
          <w:szCs w:val="32"/>
          <w:highlight w:val="none"/>
          <w:lang w:eastAsia="zh-CN"/>
        </w:rPr>
        <w:t>时</w:t>
      </w:r>
      <w:r>
        <w:rPr>
          <w:rFonts w:hint="eastAsia" w:ascii="楷体_GB2312" w:hAnsi="楷体_GB2312" w:eastAsia="楷体_GB2312" w:cs="楷体_GB2312"/>
          <w:b/>
          <w:bCs/>
          <w:color w:val="auto"/>
          <w:sz w:val="32"/>
          <w:szCs w:val="32"/>
          <w:highlight w:val="none"/>
        </w:rPr>
        <w:t>需附送立项后在</w:t>
      </w:r>
      <w:r>
        <w:rPr>
          <w:rFonts w:hint="eastAsia" w:ascii="楷体_GB2312" w:hAnsi="楷体_GB2312" w:eastAsia="楷体_GB2312" w:cs="楷体_GB2312"/>
          <w:b/>
          <w:bCs/>
          <w:color w:val="auto"/>
          <w:sz w:val="32"/>
          <w:szCs w:val="32"/>
          <w:highlight w:val="none"/>
          <w:lang w:eastAsia="zh-CN"/>
        </w:rPr>
        <w:t>有</w:t>
      </w:r>
      <w:r>
        <w:rPr>
          <w:rFonts w:hint="eastAsia" w:ascii="楷体_GB2312" w:hAnsi="楷体_GB2312" w:eastAsia="楷体_GB2312" w:cs="楷体_GB2312"/>
          <w:b/>
          <w:bCs/>
          <w:color w:val="auto"/>
          <w:sz w:val="32"/>
          <w:szCs w:val="32"/>
          <w:highlight w:val="none"/>
        </w:rPr>
        <w:t>国家正式刊号的期刊上发表的与研究相关的阶段性成果1篇。</w:t>
      </w:r>
      <w:r>
        <w:rPr>
          <w:rFonts w:hint="eastAsia" w:ascii="楷体_GB2312" w:hAnsi="楷体_GB2312" w:eastAsia="楷体_GB2312" w:cs="楷体_GB2312"/>
          <w:b/>
          <w:bCs/>
          <w:color w:val="auto"/>
          <w:sz w:val="32"/>
          <w:szCs w:val="32"/>
          <w:highlight w:val="none"/>
          <w:lang w:eastAsia="zh-CN"/>
        </w:rPr>
        <w:t>研究时限一般不超过</w:t>
      </w:r>
      <w:r>
        <w:rPr>
          <w:rFonts w:hint="eastAsia" w:ascii="楷体_GB2312" w:hAnsi="楷体_GB2312" w:eastAsia="楷体_GB2312" w:cs="楷体_GB2312"/>
          <w:b/>
          <w:bCs/>
          <w:color w:val="auto"/>
          <w:sz w:val="32"/>
          <w:szCs w:val="32"/>
          <w:highlight w:val="none"/>
          <w:lang w:val="en-US" w:eastAsia="zh-CN"/>
        </w:rPr>
        <w:t>1年，特殊情况可申请延期一次，延期最长不超过6个月。</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15项。</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1.党的创新理论对象化分众化互动化宣讲研究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2.党的创新理论走进基层研究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3.党的创新理论走进青年研究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4.党的创新理论国际传播研究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5.中国共产党党史宣传宣讲研究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6.中国共产党推进马克思主义大众化历史经验研究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7.融媒体格局下立体宣讲研究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8.构建新时代理论宣讲工作大格局研究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9.打造山东特色理论宣讲品牌研究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四、沂蒙精神研究专项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为贯彻落实习近平总书记视察山东重要讲话精神，深入阐发“水乳交融、生死与共”的沂蒙精神特质和时代价值，设立该专项。专项分为重点项目和一般项目。项目结项在报送研究报告进行鉴定的同时，重点项目需报送在全国中文核心期刊、中国人文社会科学核心期刊发表的阶段性研究成果1篇；一般项目需报送在有正式刊号的期刊上发表的阶段性成果1篇。重点项目完成时限一般不超过2年，一般项目完成时限一般不超过1年。</w:t>
      </w:r>
      <w:r>
        <w:rPr>
          <w:rFonts w:hint="eastAsia" w:ascii="楷体_GB2312" w:hAnsi="楷体_GB2312" w:eastAsia="楷体_GB2312" w:cs="楷体_GB2312"/>
          <w:b/>
          <w:bCs/>
          <w:color w:val="auto"/>
          <w:sz w:val="32"/>
          <w:szCs w:val="32"/>
          <w:highlight w:val="none"/>
          <w:lang w:val="en-US" w:eastAsia="zh-CN"/>
        </w:rPr>
        <w:t>计划立项15项，其中重点项目3项，一般项目12项。</w:t>
      </w: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1.习近平总书记关于沂蒙精神重要论述研究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2.沂蒙精神的形成与发展研究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3.沂蒙精神滋养党的初心使命研究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4.沂蒙精神特质与内涵研究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5.沂蒙革命根据地的历史与发展经验研究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6.沂蒙红色歌曲及其当代价值研究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7.沂蒙精神与新时代党群关系研究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8.沂蒙精神与党的优良传统、优良作风研究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9.弘扬沂蒙精神的途径和方法研究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10.弘扬沂蒙精神助推乡村振兴、革命老区发展研究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11.媒体融合与沂蒙精神传播路径创新研究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12.沂蒙精神与社会主义现代化国家建设研究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五、山东省重大理论与现实问题协同创新研究专项 </w:t>
      </w:r>
    </w:p>
    <w:p>
      <w:pPr>
        <w:spacing w:line="60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该专项</w:t>
      </w:r>
      <w:r>
        <w:rPr>
          <w:rFonts w:hint="eastAsia" w:ascii="楷体_GB2312" w:hAnsi="楷体_GB2312" w:eastAsia="楷体_GB2312" w:cs="楷体_GB2312"/>
          <w:b/>
          <w:bCs/>
          <w:color w:val="auto"/>
          <w:sz w:val="32"/>
          <w:szCs w:val="32"/>
          <w:highlight w:val="none"/>
        </w:rPr>
        <w:t>研究要坚持理论与实际相统一，立足我省省情，突出问题导向，围绕我省经济社会发展亟待解决的重大理论与现实问题，开展前瞻性、战略性、针对性研究。避免一般的学理性研究和纯学术研究</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研究成果能为</w:t>
      </w:r>
      <w:r>
        <w:rPr>
          <w:rFonts w:hint="eastAsia" w:ascii="楷体_GB2312" w:hAnsi="楷体_GB2312" w:eastAsia="楷体_GB2312" w:cs="楷体_GB2312"/>
          <w:b/>
          <w:bCs/>
          <w:color w:val="auto"/>
          <w:sz w:val="32"/>
          <w:szCs w:val="32"/>
          <w:highlight w:val="none"/>
          <w:lang w:eastAsia="zh-CN"/>
        </w:rPr>
        <w:t>党委政府</w:t>
      </w:r>
      <w:r>
        <w:rPr>
          <w:rFonts w:hint="eastAsia" w:ascii="楷体_GB2312" w:hAnsi="楷体_GB2312" w:eastAsia="楷体_GB2312" w:cs="楷体_GB2312"/>
          <w:b/>
          <w:bCs/>
          <w:color w:val="auto"/>
          <w:sz w:val="32"/>
          <w:szCs w:val="32"/>
          <w:highlight w:val="none"/>
        </w:rPr>
        <w:t>科学决策，为加快现代化强省建设，提供</w:t>
      </w:r>
      <w:r>
        <w:rPr>
          <w:rFonts w:hint="eastAsia" w:ascii="楷体_GB2312" w:hAnsi="楷体_GB2312" w:eastAsia="楷体_GB2312" w:cs="楷体_GB2312"/>
          <w:b/>
          <w:bCs/>
          <w:color w:val="auto"/>
          <w:sz w:val="32"/>
          <w:szCs w:val="32"/>
          <w:highlight w:val="none"/>
          <w:lang w:eastAsia="zh-CN"/>
        </w:rPr>
        <w:t>具有</w:t>
      </w:r>
      <w:r>
        <w:rPr>
          <w:rFonts w:hint="eastAsia" w:ascii="楷体_GB2312" w:hAnsi="楷体_GB2312" w:eastAsia="楷体_GB2312" w:cs="楷体_GB2312"/>
          <w:b/>
          <w:bCs/>
          <w:color w:val="auto"/>
          <w:sz w:val="32"/>
          <w:szCs w:val="32"/>
          <w:highlight w:val="none"/>
        </w:rPr>
        <w:t>重要参考价值的决策咨询和对策建议。</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社科研究机构和高等院校凡具有副高以上职称或者博士学位的研究</w:t>
      </w:r>
      <w:r>
        <w:rPr>
          <w:rFonts w:hint="eastAsia" w:ascii="楷体_GB2312" w:hAnsi="楷体_GB2312" w:eastAsia="楷体_GB2312" w:cs="楷体_GB2312"/>
          <w:b/>
          <w:bCs/>
          <w:color w:val="auto"/>
          <w:sz w:val="32"/>
          <w:szCs w:val="32"/>
          <w:highlight w:val="none"/>
          <w:lang w:eastAsia="zh-CN"/>
        </w:rPr>
        <w:t>或教学</w:t>
      </w:r>
      <w:r>
        <w:rPr>
          <w:rFonts w:hint="eastAsia" w:ascii="楷体_GB2312" w:hAnsi="楷体_GB2312" w:eastAsia="楷体_GB2312" w:cs="楷体_GB2312"/>
          <w:b/>
          <w:bCs/>
          <w:color w:val="auto"/>
          <w:sz w:val="32"/>
          <w:szCs w:val="32"/>
          <w:highlight w:val="none"/>
        </w:rPr>
        <w:t>人员均可申报。</w:t>
      </w:r>
      <w:r>
        <w:rPr>
          <w:rFonts w:hint="eastAsia" w:ascii="楷体_GB2312" w:hAnsi="楷体_GB2312" w:eastAsia="楷体_GB2312" w:cs="楷体_GB2312"/>
          <w:b/>
          <w:bCs/>
          <w:color w:val="auto"/>
          <w:sz w:val="32"/>
          <w:szCs w:val="32"/>
          <w:highlight w:val="none"/>
          <w:lang w:eastAsia="zh-CN"/>
        </w:rPr>
        <w:t>申报者应</w:t>
      </w:r>
      <w:r>
        <w:rPr>
          <w:rFonts w:hint="eastAsia" w:ascii="楷体_GB2312" w:hAnsi="楷体_GB2312" w:eastAsia="楷体_GB2312" w:cs="楷体_GB2312"/>
          <w:b/>
          <w:bCs/>
          <w:color w:val="auto"/>
          <w:sz w:val="32"/>
          <w:szCs w:val="32"/>
          <w:highlight w:val="none"/>
        </w:rPr>
        <w:t>紧扣选题研究方向，结合我省经济社会发展实际，选择不同的研究角度和侧重点，自行设计具体题目</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“涉台港澳项目”</w:t>
      </w:r>
      <w:r>
        <w:rPr>
          <w:rFonts w:hint="eastAsia" w:ascii="楷体_GB2312" w:hAnsi="楷体_GB2312" w:eastAsia="楷体_GB2312" w:cs="楷体_GB2312"/>
          <w:b/>
          <w:bCs/>
          <w:color w:val="auto"/>
          <w:sz w:val="32"/>
          <w:szCs w:val="32"/>
          <w:highlight w:val="none"/>
          <w:lang w:val="en-US" w:eastAsia="zh-CN"/>
        </w:rPr>
        <w:t>按照</w:t>
      </w:r>
      <w:r>
        <w:rPr>
          <w:rFonts w:hint="eastAsia" w:ascii="楷体_GB2312" w:hAnsi="楷体_GB2312" w:eastAsia="楷体_GB2312" w:cs="楷体_GB2312"/>
          <w:b/>
          <w:bCs/>
          <w:color w:val="auto"/>
          <w:sz w:val="32"/>
          <w:szCs w:val="32"/>
          <w:highlight w:val="none"/>
        </w:rPr>
        <w:t>原题申报</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。鼓励大胆探索、协同攻关和跨学科研究。</w:t>
      </w:r>
      <w:r>
        <w:rPr>
          <w:rFonts w:hint="eastAsia" w:ascii="楷体_GB2312" w:hAnsi="楷体_GB2312" w:eastAsia="楷体_GB2312" w:cs="楷体_GB2312"/>
          <w:b/>
          <w:bCs/>
          <w:color w:val="auto"/>
          <w:sz w:val="32"/>
          <w:szCs w:val="32"/>
          <w:highlight w:val="none"/>
          <w:lang w:eastAsia="zh-CN"/>
        </w:rPr>
        <w:t>成果形式为研究报告。作为阶段性成果的</w:t>
      </w:r>
      <w:r>
        <w:rPr>
          <w:rFonts w:hint="eastAsia" w:ascii="楷体_GB2312" w:hAnsi="楷体_GB2312" w:eastAsia="楷体_GB2312" w:cs="楷体_GB2312"/>
          <w:b/>
          <w:bCs/>
          <w:color w:val="auto"/>
          <w:sz w:val="32"/>
          <w:szCs w:val="32"/>
          <w:highlight w:val="none"/>
        </w:rPr>
        <w:t>对策建议未获批示的，重点项目需报送在全国中文核心期刊、中国人文社会科学核心期刊发表的阶段性研究成果2篇（其中1篇需是CSSCI来源期刊）；一般项目</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涉台港澳研究项目需报送在全国中文核心期刊</w:t>
      </w:r>
      <w:r>
        <w:rPr>
          <w:rFonts w:hint="eastAsia" w:ascii="楷体_GB2312" w:hAnsi="楷体_GB2312" w:eastAsia="楷体_GB2312" w:cs="楷体_GB2312"/>
          <w:b/>
          <w:bCs/>
          <w:color w:val="auto"/>
          <w:sz w:val="32"/>
          <w:szCs w:val="32"/>
          <w:highlight w:val="none"/>
          <w:lang w:eastAsia="zh-CN"/>
        </w:rPr>
        <w:t>或</w:t>
      </w:r>
      <w:r>
        <w:rPr>
          <w:rFonts w:hint="eastAsia" w:ascii="楷体_GB2312" w:hAnsi="楷体_GB2312" w:eastAsia="楷体_GB2312" w:cs="楷体_GB2312"/>
          <w:b/>
          <w:bCs/>
          <w:color w:val="auto"/>
          <w:sz w:val="32"/>
          <w:szCs w:val="32"/>
          <w:highlight w:val="none"/>
        </w:rPr>
        <w:t>中国人文社会科学核心期刊发表的阶段性研究成果1篇，方可申请结项。项目完成时限为202</w:t>
      </w:r>
      <w:r>
        <w:rPr>
          <w:rFonts w:hint="eastAsia" w:ascii="楷体_GB2312" w:hAnsi="楷体_GB2312" w:eastAsia="楷体_GB2312" w:cs="楷体_GB2312"/>
          <w:b/>
          <w:bCs/>
          <w:color w:val="auto"/>
          <w:sz w:val="32"/>
          <w:szCs w:val="32"/>
          <w:highlight w:val="none"/>
          <w:lang w:val="en-US" w:eastAsia="zh-CN"/>
        </w:rPr>
        <w:t>2</w:t>
      </w:r>
      <w:r>
        <w:rPr>
          <w:rFonts w:hint="eastAsia" w:ascii="楷体_GB2312" w:hAnsi="楷体_GB2312" w:eastAsia="楷体_GB2312" w:cs="楷体_GB2312"/>
          <w:b/>
          <w:bCs/>
          <w:color w:val="auto"/>
          <w:sz w:val="32"/>
          <w:szCs w:val="32"/>
          <w:highlight w:val="none"/>
        </w:rPr>
        <w:t>年12月底。202</w:t>
      </w:r>
      <w:r>
        <w:rPr>
          <w:rFonts w:hint="eastAsia" w:ascii="楷体_GB2312" w:hAnsi="楷体_GB2312" w:eastAsia="楷体_GB2312" w:cs="楷体_GB2312"/>
          <w:b/>
          <w:bCs/>
          <w:color w:val="auto"/>
          <w:sz w:val="32"/>
          <w:szCs w:val="32"/>
          <w:highlight w:val="none"/>
          <w:lang w:val="en-US" w:eastAsia="zh-CN"/>
        </w:rPr>
        <w:t>3</w:t>
      </w:r>
      <w:r>
        <w:rPr>
          <w:rFonts w:hint="eastAsia" w:ascii="楷体_GB2312" w:hAnsi="楷体_GB2312" w:eastAsia="楷体_GB2312" w:cs="楷体_GB2312"/>
          <w:b/>
          <w:bCs/>
          <w:color w:val="auto"/>
          <w:sz w:val="32"/>
          <w:szCs w:val="32"/>
          <w:highlight w:val="none"/>
        </w:rPr>
        <w:t>年</w:t>
      </w:r>
      <w:r>
        <w:rPr>
          <w:rFonts w:hint="eastAsia" w:ascii="楷体_GB2312" w:hAnsi="楷体_GB2312" w:eastAsia="楷体_GB2312" w:cs="楷体_GB2312"/>
          <w:b/>
          <w:bCs/>
          <w:color w:val="auto"/>
          <w:sz w:val="32"/>
          <w:szCs w:val="32"/>
          <w:highlight w:val="none"/>
          <w:lang w:val="en-US" w:eastAsia="zh-CN"/>
        </w:rPr>
        <w:t>12</w:t>
      </w:r>
      <w:r>
        <w:rPr>
          <w:rFonts w:hint="eastAsia" w:ascii="楷体_GB2312" w:hAnsi="楷体_GB2312" w:eastAsia="楷体_GB2312" w:cs="楷体_GB2312"/>
          <w:b/>
          <w:bCs/>
          <w:color w:val="auto"/>
          <w:sz w:val="32"/>
          <w:szCs w:val="32"/>
          <w:highlight w:val="none"/>
        </w:rPr>
        <w:t>月</w:t>
      </w:r>
      <w:r>
        <w:rPr>
          <w:rFonts w:hint="eastAsia" w:ascii="楷体_GB2312" w:hAnsi="楷体_GB2312" w:eastAsia="楷体_GB2312" w:cs="楷体_GB2312"/>
          <w:b/>
          <w:bCs/>
          <w:color w:val="auto"/>
          <w:sz w:val="32"/>
          <w:szCs w:val="32"/>
          <w:highlight w:val="none"/>
          <w:lang w:val="en-US" w:eastAsia="zh-CN"/>
        </w:rPr>
        <w:t>31</w:t>
      </w:r>
      <w:r>
        <w:rPr>
          <w:rFonts w:hint="eastAsia" w:ascii="楷体_GB2312" w:hAnsi="楷体_GB2312" w:eastAsia="楷体_GB2312" w:cs="楷体_GB2312"/>
          <w:b/>
          <w:bCs/>
          <w:color w:val="auto"/>
          <w:sz w:val="32"/>
          <w:szCs w:val="32"/>
          <w:highlight w:val="none"/>
        </w:rPr>
        <w:t>日仍然未完成结项的项目予以撤项。</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25项，其中，</w:t>
      </w:r>
      <w:r>
        <w:rPr>
          <w:rFonts w:hint="eastAsia" w:ascii="楷体_GB2312" w:hAnsi="楷体_GB2312" w:eastAsia="楷体_GB2312" w:cs="楷体_GB2312"/>
          <w:b/>
          <w:bCs/>
          <w:color w:val="auto"/>
          <w:sz w:val="32"/>
          <w:szCs w:val="32"/>
          <w:highlight w:val="none"/>
          <w:lang w:eastAsia="zh-CN"/>
        </w:rPr>
        <w:t>重点项目</w:t>
      </w:r>
      <w:r>
        <w:rPr>
          <w:rFonts w:hint="eastAsia" w:ascii="楷体_GB2312" w:hAnsi="楷体_GB2312" w:eastAsia="楷体_GB2312" w:cs="楷体_GB2312"/>
          <w:b/>
          <w:bCs/>
          <w:color w:val="auto"/>
          <w:sz w:val="32"/>
          <w:szCs w:val="32"/>
          <w:highlight w:val="none"/>
          <w:lang w:val="en-US" w:eastAsia="zh-CN"/>
        </w:rPr>
        <w:t>5</w:t>
      </w:r>
      <w:r>
        <w:rPr>
          <w:rFonts w:hint="eastAsia" w:ascii="楷体_GB2312" w:hAnsi="楷体_GB2312" w:eastAsia="楷体_GB2312" w:cs="楷体_GB2312"/>
          <w:b/>
          <w:bCs/>
          <w:color w:val="auto"/>
          <w:sz w:val="32"/>
          <w:szCs w:val="32"/>
          <w:highlight w:val="none"/>
          <w:lang w:eastAsia="zh-CN"/>
        </w:rPr>
        <w:t>项，一般项目</w:t>
      </w:r>
      <w:r>
        <w:rPr>
          <w:rFonts w:hint="eastAsia" w:ascii="楷体_GB2312" w:hAnsi="楷体_GB2312" w:eastAsia="楷体_GB2312" w:cs="楷体_GB2312"/>
          <w:b/>
          <w:bCs/>
          <w:color w:val="auto"/>
          <w:sz w:val="32"/>
          <w:szCs w:val="32"/>
          <w:highlight w:val="none"/>
          <w:lang w:val="en-US" w:eastAsia="zh-CN"/>
        </w:rPr>
        <w:t>15</w:t>
      </w:r>
      <w:r>
        <w:rPr>
          <w:rFonts w:hint="eastAsia" w:ascii="楷体_GB2312" w:hAnsi="楷体_GB2312" w:eastAsia="楷体_GB2312" w:cs="楷体_GB2312"/>
          <w:b/>
          <w:bCs/>
          <w:color w:val="auto"/>
          <w:sz w:val="32"/>
          <w:szCs w:val="32"/>
          <w:highlight w:val="none"/>
          <w:lang w:eastAsia="zh-CN"/>
        </w:rPr>
        <w:t>项，</w:t>
      </w:r>
      <w:r>
        <w:rPr>
          <w:rFonts w:hint="eastAsia" w:ascii="楷体_GB2312" w:hAnsi="楷体_GB2312" w:eastAsia="楷体_GB2312" w:cs="楷体_GB2312"/>
          <w:b/>
          <w:bCs/>
          <w:color w:val="auto"/>
          <w:sz w:val="32"/>
          <w:szCs w:val="32"/>
          <w:highlight w:val="none"/>
        </w:rPr>
        <w:t>涉台港澳研究项目</w:t>
      </w:r>
      <w:r>
        <w:rPr>
          <w:rFonts w:hint="eastAsia" w:ascii="楷体_GB2312" w:hAnsi="楷体_GB2312" w:eastAsia="楷体_GB2312" w:cs="楷体_GB2312"/>
          <w:b/>
          <w:bCs/>
          <w:color w:val="auto"/>
          <w:sz w:val="32"/>
          <w:szCs w:val="32"/>
          <w:highlight w:val="none"/>
          <w:lang w:val="en-US" w:eastAsia="zh-CN"/>
        </w:rPr>
        <w:t>5项。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重点项目选题：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1.现代农业强省建设研究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2.先进制造业强省建设研究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3.海洋强省建设研究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4.文化强省建设研究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5.健康强省建设研究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一般项目选题：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1.山东融入构建双循环发展格局研究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2.山东新旧动能转换五年突破路径研究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3.山东提升“十强”现代优势产业集群核心竞争力研究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4.山东国有企业改革研究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5.新时代山东区域一体化创新发展研究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6.充分发挥山东半岛城市群在黄河流域生态保护和高质量发展中的龙头作用研究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7.黄河现代产业合作示范带建设研究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8.山东加强社会治理研究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9.以人为核心的新型城镇化建设研究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10.山东脱贫攻坚经验研究</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涉台港澳研究项目选题：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1.台湾产业转移与山东产业对接研究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2.台湾现代农业发展对打造乡村振兴齐鲁样板的启示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3.台资经济助力山东打造对外开放新高地的思考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4.持续深化鲁台人文交流合作研究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5.新形势下鲁台港澳青少年群体深度交流融合研究</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bCs/>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六、高校思想政治教育研究专项  </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right="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shd w:val="clear" w:color="auto" w:fill="FFFFFF"/>
        </w:rPr>
        <w:t>该专项主要面向全省高校从事思想政治工作</w:t>
      </w:r>
      <w:r>
        <w:rPr>
          <w:rFonts w:hint="eastAsia" w:ascii="楷体_GB2312" w:hAnsi="楷体_GB2312" w:eastAsia="楷体_GB2312" w:cs="楷体_GB2312"/>
          <w:b/>
          <w:bCs/>
          <w:color w:val="auto"/>
          <w:sz w:val="32"/>
          <w:szCs w:val="32"/>
          <w:highlight w:val="none"/>
        </w:rPr>
        <w:t>的一线教师及相关研究人员</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申报者根据有关选题要求，结合高校思想政治工作实际，自行设计</w:t>
      </w:r>
      <w:r>
        <w:rPr>
          <w:rFonts w:hint="eastAsia" w:ascii="楷体_GB2312" w:hAnsi="楷体_GB2312" w:eastAsia="楷体_GB2312" w:cs="楷体_GB2312"/>
          <w:b/>
          <w:bCs/>
          <w:color w:val="auto"/>
          <w:sz w:val="32"/>
          <w:szCs w:val="32"/>
          <w:highlight w:val="none"/>
          <w:lang w:eastAsia="zh-CN"/>
        </w:rPr>
        <w:t>具体题目。选题</w:t>
      </w:r>
      <w:r>
        <w:rPr>
          <w:rFonts w:hint="eastAsia" w:ascii="楷体_GB2312" w:hAnsi="楷体_GB2312" w:eastAsia="楷体_GB2312" w:cs="楷体_GB2312"/>
          <w:b/>
          <w:bCs/>
          <w:color w:val="auto"/>
          <w:sz w:val="32"/>
          <w:szCs w:val="32"/>
          <w:highlight w:val="none"/>
        </w:rPr>
        <w:t>力求具有较强的理论性和现实针对性。</w:t>
      </w:r>
      <w:r>
        <w:rPr>
          <w:rFonts w:hint="eastAsia" w:ascii="楷体_GB2312" w:hAnsi="楷体_GB2312" w:eastAsia="楷体_GB2312" w:cs="楷体_GB2312"/>
          <w:b/>
          <w:bCs/>
          <w:color w:val="auto"/>
          <w:sz w:val="32"/>
          <w:szCs w:val="32"/>
          <w:highlight w:val="none"/>
          <w:lang w:eastAsia="zh-CN"/>
        </w:rPr>
        <w:t>成</w:t>
      </w:r>
      <w:r>
        <w:rPr>
          <w:rFonts w:hint="eastAsia" w:ascii="楷体_GB2312" w:hAnsi="楷体_GB2312" w:eastAsia="楷体_GB2312" w:cs="楷体_GB2312"/>
          <w:b/>
          <w:bCs/>
          <w:color w:val="auto"/>
          <w:sz w:val="32"/>
          <w:szCs w:val="32"/>
          <w:highlight w:val="none"/>
        </w:rPr>
        <w:t>果形式</w:t>
      </w: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研究报告</w:t>
      </w:r>
      <w:r>
        <w:rPr>
          <w:rFonts w:hint="eastAsia" w:ascii="楷体_GB2312" w:hAnsi="楷体_GB2312" w:eastAsia="楷体_GB2312" w:cs="楷体_GB2312"/>
          <w:b/>
          <w:bCs/>
          <w:color w:val="auto"/>
          <w:sz w:val="32"/>
          <w:szCs w:val="32"/>
          <w:highlight w:val="none"/>
          <w:lang w:eastAsia="zh-CN"/>
        </w:rPr>
        <w:t>的</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申请</w:t>
      </w:r>
      <w:r>
        <w:rPr>
          <w:rFonts w:hint="eastAsia" w:ascii="楷体_GB2312" w:hAnsi="楷体_GB2312" w:eastAsia="楷体_GB2312" w:cs="楷体_GB2312"/>
          <w:b/>
          <w:bCs/>
          <w:color w:val="auto"/>
          <w:sz w:val="32"/>
          <w:szCs w:val="32"/>
          <w:highlight w:val="none"/>
        </w:rPr>
        <w:t>结项</w:t>
      </w:r>
      <w:r>
        <w:rPr>
          <w:rFonts w:hint="eastAsia" w:ascii="楷体_GB2312" w:hAnsi="楷体_GB2312" w:eastAsia="楷体_GB2312" w:cs="楷体_GB2312"/>
          <w:b/>
          <w:bCs/>
          <w:color w:val="auto"/>
          <w:sz w:val="32"/>
          <w:szCs w:val="32"/>
          <w:highlight w:val="none"/>
          <w:lang w:eastAsia="zh-CN"/>
        </w:rPr>
        <w:t>时</w:t>
      </w:r>
      <w:r>
        <w:rPr>
          <w:rFonts w:hint="eastAsia" w:ascii="楷体_GB2312" w:hAnsi="楷体_GB2312" w:eastAsia="楷体_GB2312" w:cs="楷体_GB2312"/>
          <w:b/>
          <w:bCs/>
          <w:color w:val="auto"/>
          <w:sz w:val="32"/>
          <w:szCs w:val="32"/>
          <w:highlight w:val="none"/>
        </w:rPr>
        <w:t>需附送立项后在</w:t>
      </w:r>
      <w:r>
        <w:rPr>
          <w:rFonts w:hint="eastAsia" w:ascii="楷体_GB2312" w:hAnsi="楷体_GB2312" w:eastAsia="楷体_GB2312" w:cs="楷体_GB2312"/>
          <w:b/>
          <w:bCs/>
          <w:color w:val="auto"/>
          <w:sz w:val="32"/>
          <w:szCs w:val="32"/>
          <w:highlight w:val="none"/>
          <w:lang w:eastAsia="zh-CN"/>
        </w:rPr>
        <w:t>有</w:t>
      </w:r>
      <w:r>
        <w:rPr>
          <w:rFonts w:hint="eastAsia" w:ascii="楷体_GB2312" w:hAnsi="楷体_GB2312" w:eastAsia="楷体_GB2312" w:cs="楷体_GB2312"/>
          <w:b/>
          <w:bCs/>
          <w:color w:val="auto"/>
          <w:sz w:val="32"/>
          <w:szCs w:val="32"/>
          <w:highlight w:val="none"/>
        </w:rPr>
        <w:t>国家正式刊号的期刊上发表的与研究相关的阶段性成果1篇。</w:t>
      </w:r>
      <w:r>
        <w:rPr>
          <w:rFonts w:hint="eastAsia" w:ascii="楷体_GB2312" w:hAnsi="楷体_GB2312" w:eastAsia="楷体_GB2312" w:cs="楷体_GB2312"/>
          <w:b/>
          <w:bCs/>
          <w:color w:val="auto"/>
          <w:sz w:val="32"/>
          <w:szCs w:val="32"/>
          <w:highlight w:val="none"/>
          <w:lang w:eastAsia="zh-CN"/>
        </w:rPr>
        <w:t>完成时限为</w:t>
      </w:r>
      <w:r>
        <w:rPr>
          <w:rFonts w:hint="eastAsia" w:ascii="楷体_GB2312" w:hAnsi="楷体_GB2312" w:eastAsia="楷体_GB2312" w:cs="楷体_GB2312"/>
          <w:b/>
          <w:bCs/>
          <w:color w:val="auto"/>
          <w:sz w:val="32"/>
          <w:szCs w:val="32"/>
          <w:highlight w:val="none"/>
          <w:lang w:val="en-US" w:eastAsia="zh-CN"/>
        </w:rPr>
        <w:t>1-2年。</w:t>
      </w:r>
      <w:r>
        <w:rPr>
          <w:rFonts w:hint="eastAsia" w:ascii="楷体_GB2312" w:hAnsi="楷体_GB2312" w:eastAsia="楷体_GB2312" w:cs="楷体_GB2312"/>
          <w:b/>
          <w:bCs/>
          <w:color w:val="auto"/>
          <w:sz w:val="32"/>
          <w:szCs w:val="32"/>
          <w:highlight w:val="none"/>
          <w:lang w:val="en-US" w:eastAsia="zh-CN"/>
        </w:rPr>
        <w:t>计划立项70项。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1.建党百年思政课建设的历史经验与发展规律研究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2.新发展阶段思政课教育教学规律、学生认知规律和接受特点研究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3.新时代高校思政课教学质量评价体系研究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4.新技术新趋势背景下高校网络意识形态安全体系建构研究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5.社会主义核心价值观引领知识教育长效机制研究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6.高校深入开展“四史”学习教育研究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7.新时代高校大学生群体分类及主要特点研究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8.新时代大学生爱国主义教育机制创新研究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9.高校辅导员提升政治引领力路径研究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10.大学生网络素养内容、载体及培育机制研究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11.高校学生心理健康教育体系建设创新研究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12.高校大学生美育意识培育研究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13.大学生国家安全意识培养研究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14.少年儿童政治启蒙和价值观塑造研究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15.新时代增强少先队员光荣感研究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16.新时代少先队辅导员队伍建设研究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17.少先队社会化工作体系建设研究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18.充分用好红色资源开展少先队工作研究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19.新时代青少年国防教育研究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 xml:space="preserve">七、打造山东对外开放新高地研究专项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该专项研究着眼准确把握新发展阶段、深入贯彻新发展理念、加快构建新发展格局的新要求，推动全省外事工作理论和实践创新，更好地服务省委省政府决策、服务全省重大战略，为打造对外开放新高地提供理论支撑。山</w:t>
      </w:r>
      <w:r>
        <w:rPr>
          <w:rFonts w:hint="eastAsia" w:ascii="楷体_GB2312" w:hAnsi="楷体_GB2312" w:eastAsia="楷体_GB2312" w:cs="楷体_GB2312"/>
          <w:b/>
          <w:bCs/>
          <w:sz w:val="32"/>
          <w:szCs w:val="32"/>
          <w:highlight w:val="none"/>
          <w:lang w:val="en-US" w:eastAsia="zh-CN"/>
        </w:rPr>
        <w:t>东省外事研究与发展智库单位的研究人员均可申报（外事智库名单将在申报数量分配表中注明）。成果形式为研究报告的，</w:t>
      </w:r>
      <w:r>
        <w:rPr>
          <w:rFonts w:hint="eastAsia" w:ascii="楷体_GB2312" w:hAnsi="楷体_GB2312" w:eastAsia="楷体_GB2312" w:cs="楷体_GB2312"/>
          <w:b/>
          <w:bCs/>
          <w:color w:val="auto"/>
          <w:sz w:val="32"/>
          <w:szCs w:val="32"/>
          <w:highlight w:val="none"/>
          <w:lang w:eastAsia="zh-CN"/>
        </w:rPr>
        <w:t>申请</w:t>
      </w:r>
      <w:r>
        <w:rPr>
          <w:rFonts w:hint="eastAsia" w:ascii="楷体_GB2312" w:hAnsi="楷体_GB2312" w:eastAsia="楷体_GB2312" w:cs="楷体_GB2312"/>
          <w:b/>
          <w:bCs/>
          <w:color w:val="auto"/>
          <w:sz w:val="32"/>
          <w:szCs w:val="32"/>
          <w:highlight w:val="none"/>
        </w:rPr>
        <w:t>结项</w:t>
      </w:r>
      <w:r>
        <w:rPr>
          <w:rFonts w:hint="eastAsia" w:ascii="楷体_GB2312" w:hAnsi="楷体_GB2312" w:eastAsia="楷体_GB2312" w:cs="楷体_GB2312"/>
          <w:b/>
          <w:bCs/>
          <w:color w:val="auto"/>
          <w:sz w:val="32"/>
          <w:szCs w:val="32"/>
          <w:highlight w:val="none"/>
          <w:lang w:eastAsia="zh-CN"/>
        </w:rPr>
        <w:t>时，</w:t>
      </w:r>
      <w:r>
        <w:rPr>
          <w:rFonts w:hint="eastAsia" w:ascii="楷体_GB2312" w:hAnsi="楷体_GB2312" w:eastAsia="楷体_GB2312" w:cs="楷体_GB2312"/>
          <w:b/>
          <w:bCs/>
          <w:color w:val="auto"/>
          <w:sz w:val="32"/>
          <w:szCs w:val="32"/>
          <w:highlight w:val="none"/>
        </w:rPr>
        <w:t>需附送立项后在</w:t>
      </w:r>
      <w:r>
        <w:rPr>
          <w:rFonts w:hint="eastAsia" w:ascii="楷体_GB2312" w:hAnsi="楷体_GB2312" w:eastAsia="楷体_GB2312" w:cs="楷体_GB2312"/>
          <w:b/>
          <w:bCs/>
          <w:color w:val="auto"/>
          <w:sz w:val="32"/>
          <w:szCs w:val="32"/>
          <w:highlight w:val="none"/>
          <w:lang w:eastAsia="zh-CN"/>
        </w:rPr>
        <w:t>有</w:t>
      </w:r>
      <w:r>
        <w:rPr>
          <w:rFonts w:hint="eastAsia" w:ascii="楷体_GB2312" w:hAnsi="楷体_GB2312" w:eastAsia="楷体_GB2312" w:cs="楷体_GB2312"/>
          <w:b/>
          <w:bCs/>
          <w:color w:val="auto"/>
          <w:sz w:val="32"/>
          <w:szCs w:val="32"/>
          <w:highlight w:val="none"/>
        </w:rPr>
        <w:t>国家正式刊号的期刊上发表的与研究相关的阶段性成果1篇</w:t>
      </w:r>
      <w:r>
        <w:rPr>
          <w:rFonts w:hint="eastAsia" w:ascii="楷体_GB2312" w:hAnsi="楷体_GB2312" w:eastAsia="楷体_GB2312" w:cs="楷体_GB2312"/>
          <w:b/>
          <w:bCs/>
          <w:color w:val="auto"/>
          <w:sz w:val="32"/>
          <w:szCs w:val="32"/>
          <w:highlight w:val="none"/>
          <w:lang w:eastAsia="zh-CN"/>
        </w:rPr>
        <w:t>，并</w:t>
      </w:r>
      <w:r>
        <w:rPr>
          <w:rFonts w:hint="eastAsia" w:ascii="楷体_GB2312" w:hAnsi="楷体_GB2312" w:eastAsia="楷体_GB2312" w:cs="楷体_GB2312"/>
          <w:b/>
          <w:bCs/>
          <w:sz w:val="32"/>
          <w:szCs w:val="32"/>
          <w:highlight w:val="none"/>
          <w:lang w:val="en-US" w:eastAsia="zh-CN"/>
        </w:rPr>
        <w:t>须提报3条以上对全省外事工作创新发展有决策参考价值的意见建议。完成时限1年。计划立项</w:t>
      </w:r>
      <w:r>
        <w:rPr>
          <w:rFonts w:hint="eastAsia" w:ascii="楷体_GB2312" w:hAnsi="楷体_GB2312" w:eastAsia="楷体_GB2312" w:cs="楷体_GB2312"/>
          <w:b/>
          <w:bCs/>
          <w:sz w:val="32"/>
          <w:szCs w:val="32"/>
          <w:highlight w:val="none"/>
          <w:lang w:val="en-US" w:eastAsia="zh-CN"/>
        </w:rPr>
        <w:t>20</w:t>
      </w:r>
      <w:r>
        <w:rPr>
          <w:rFonts w:hint="eastAsia" w:ascii="楷体_GB2312" w:hAnsi="楷体_GB2312" w:eastAsia="楷体_GB2312" w:cs="楷体_GB2312"/>
          <w:b/>
          <w:bCs/>
          <w:sz w:val="32"/>
          <w:szCs w:val="32"/>
          <w:highlight w:val="none"/>
          <w:lang w:val="en-US" w:eastAsia="zh-CN"/>
        </w:rPr>
        <w:t>项。</w:t>
      </w:r>
    </w:p>
    <w:p>
      <w:pPr>
        <w:pStyle w:val="2"/>
        <w:keepNext w:val="0"/>
        <w:keepLines w:val="0"/>
        <w:pageBreakBefore w:val="0"/>
        <w:kinsoku/>
        <w:wordWrap/>
        <w:overflowPunct/>
        <w:topLinePunct w:val="0"/>
        <w:bidi w:val="0"/>
        <w:spacing w:line="600" w:lineRule="exact"/>
        <w:textAlignment w:val="auto"/>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1.“一带一路”建设开拓及面临的风险研究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2.山东在《区域全面经济伙伴关系协定》（RCEP）框架下的应对策略研究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3.《中欧全面投资协定》对山东与欧盟国家合作的影响研究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4.山东对外交往史实研究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5.社会组织参与国际交流合作研究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6.民间外交研究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7.中外青少年交流研究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8.高能级对外交往平台机制建设研究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9.山东与日本、韩国、东盟国家、上合组织国家、中东欧国家、欧美发达国家等交流合作研究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10.亚洲、欧洲、非洲、拉美、太平洋岛国等区域国别研究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11.国际友城交流合作研究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12.重点行业领域对外交流合作研究</w:t>
      </w:r>
    </w:p>
    <w:p>
      <w:pPr>
        <w:pStyle w:val="2"/>
        <w:spacing w:line="600" w:lineRule="exact"/>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八、数字山东研究专项  </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left="0" w:right="0"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为落实国家大数据战略，推进全省经济社会数字化转型，对数字政府、数字经济、数字社会、新型智慧城市建设等进行前瞻性研究，设立该专项。申报者</w:t>
      </w:r>
      <w:r>
        <w:rPr>
          <w:rFonts w:hint="eastAsia" w:ascii="楷体_GB2312" w:hAnsi="楷体_GB2312" w:eastAsia="楷体_GB2312" w:cs="楷体_GB2312"/>
          <w:b/>
          <w:bCs/>
          <w:color w:val="auto"/>
          <w:sz w:val="32"/>
          <w:szCs w:val="32"/>
          <w:highlight w:val="none"/>
          <w:lang w:eastAsia="zh-CN"/>
        </w:rPr>
        <w:t>应</w:t>
      </w:r>
      <w:r>
        <w:rPr>
          <w:rFonts w:hint="eastAsia" w:ascii="楷体_GB2312" w:hAnsi="楷体_GB2312" w:eastAsia="楷体_GB2312" w:cs="楷体_GB2312"/>
          <w:b/>
          <w:bCs/>
          <w:color w:val="auto"/>
          <w:sz w:val="32"/>
          <w:szCs w:val="32"/>
          <w:highlight w:val="none"/>
        </w:rPr>
        <w:t>紧扣选题研究方向，结合我省经济社会发展实际，自行设计</w:t>
      </w:r>
      <w:r>
        <w:rPr>
          <w:rFonts w:hint="eastAsia" w:ascii="楷体_GB2312" w:hAnsi="楷体_GB2312" w:eastAsia="楷体_GB2312" w:cs="楷体_GB2312"/>
          <w:b/>
          <w:bCs/>
          <w:color w:val="auto"/>
          <w:sz w:val="32"/>
          <w:szCs w:val="32"/>
          <w:highlight w:val="none"/>
          <w:lang w:eastAsia="zh-CN"/>
        </w:rPr>
        <w:t>具体题目。选题</w:t>
      </w:r>
      <w:r>
        <w:rPr>
          <w:rFonts w:hint="eastAsia" w:ascii="楷体_GB2312" w:hAnsi="楷体_GB2312" w:eastAsia="楷体_GB2312" w:cs="楷体_GB2312"/>
          <w:b/>
          <w:bCs/>
          <w:color w:val="auto"/>
          <w:sz w:val="32"/>
          <w:szCs w:val="32"/>
          <w:highlight w:val="none"/>
        </w:rPr>
        <w:t>力求具有较强的理论性和现实针对性。</w:t>
      </w:r>
      <w:r>
        <w:rPr>
          <w:rFonts w:hint="eastAsia" w:ascii="楷体_GB2312" w:hAnsi="楷体_GB2312" w:eastAsia="楷体_GB2312" w:cs="楷体_GB2312"/>
          <w:b/>
          <w:bCs/>
          <w:color w:val="auto"/>
          <w:sz w:val="32"/>
          <w:szCs w:val="32"/>
          <w:highlight w:val="none"/>
          <w:lang w:eastAsia="zh-CN"/>
        </w:rPr>
        <w:t>成</w:t>
      </w:r>
      <w:r>
        <w:rPr>
          <w:rFonts w:hint="eastAsia" w:ascii="楷体_GB2312" w:hAnsi="楷体_GB2312" w:eastAsia="楷体_GB2312" w:cs="楷体_GB2312"/>
          <w:b/>
          <w:bCs/>
          <w:color w:val="auto"/>
          <w:sz w:val="32"/>
          <w:szCs w:val="32"/>
          <w:highlight w:val="none"/>
        </w:rPr>
        <w:t>果形式</w:t>
      </w: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研究报告</w:t>
      </w:r>
      <w:r>
        <w:rPr>
          <w:rFonts w:hint="eastAsia" w:ascii="楷体_GB2312" w:hAnsi="楷体_GB2312" w:eastAsia="楷体_GB2312" w:cs="楷体_GB2312"/>
          <w:b/>
          <w:bCs/>
          <w:color w:val="auto"/>
          <w:sz w:val="32"/>
          <w:szCs w:val="32"/>
          <w:highlight w:val="none"/>
          <w:lang w:eastAsia="zh-CN"/>
        </w:rPr>
        <w:t>的</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申请</w:t>
      </w:r>
      <w:r>
        <w:rPr>
          <w:rFonts w:hint="eastAsia" w:ascii="楷体_GB2312" w:hAnsi="楷体_GB2312" w:eastAsia="楷体_GB2312" w:cs="楷体_GB2312"/>
          <w:b/>
          <w:bCs/>
          <w:color w:val="auto"/>
          <w:sz w:val="32"/>
          <w:szCs w:val="32"/>
          <w:highlight w:val="none"/>
        </w:rPr>
        <w:t>结项</w:t>
      </w:r>
      <w:r>
        <w:rPr>
          <w:rFonts w:hint="eastAsia" w:ascii="楷体_GB2312" w:hAnsi="楷体_GB2312" w:eastAsia="楷体_GB2312" w:cs="楷体_GB2312"/>
          <w:b/>
          <w:bCs/>
          <w:color w:val="auto"/>
          <w:sz w:val="32"/>
          <w:szCs w:val="32"/>
          <w:highlight w:val="none"/>
          <w:lang w:eastAsia="zh-CN"/>
        </w:rPr>
        <w:t>时</w:t>
      </w:r>
      <w:r>
        <w:rPr>
          <w:rFonts w:hint="eastAsia" w:ascii="楷体_GB2312" w:hAnsi="楷体_GB2312" w:eastAsia="楷体_GB2312" w:cs="楷体_GB2312"/>
          <w:b/>
          <w:bCs/>
          <w:color w:val="auto"/>
          <w:sz w:val="32"/>
          <w:szCs w:val="32"/>
          <w:highlight w:val="none"/>
        </w:rPr>
        <w:t>需附送立项后在</w:t>
      </w:r>
      <w:r>
        <w:rPr>
          <w:rFonts w:hint="eastAsia" w:ascii="楷体_GB2312" w:hAnsi="楷体_GB2312" w:eastAsia="楷体_GB2312" w:cs="楷体_GB2312"/>
          <w:b/>
          <w:bCs/>
          <w:color w:val="auto"/>
          <w:sz w:val="32"/>
          <w:szCs w:val="32"/>
          <w:highlight w:val="none"/>
          <w:lang w:eastAsia="zh-CN"/>
        </w:rPr>
        <w:t>有</w:t>
      </w:r>
      <w:r>
        <w:rPr>
          <w:rFonts w:hint="eastAsia" w:ascii="楷体_GB2312" w:hAnsi="楷体_GB2312" w:eastAsia="楷体_GB2312" w:cs="楷体_GB2312"/>
          <w:b/>
          <w:bCs/>
          <w:color w:val="auto"/>
          <w:sz w:val="32"/>
          <w:szCs w:val="32"/>
          <w:highlight w:val="none"/>
        </w:rPr>
        <w:t>国家正式刊号的期刊上发表的与研究相关的阶段性成果1篇。</w:t>
      </w:r>
      <w:r>
        <w:rPr>
          <w:rFonts w:hint="eastAsia" w:ascii="楷体_GB2312" w:hAnsi="楷体_GB2312" w:eastAsia="楷体_GB2312" w:cs="楷体_GB2312"/>
          <w:b/>
          <w:bCs/>
          <w:color w:val="auto"/>
          <w:sz w:val="32"/>
          <w:szCs w:val="32"/>
          <w:highlight w:val="none"/>
          <w:lang w:eastAsia="zh-CN"/>
        </w:rPr>
        <w:t>完成时限为</w:t>
      </w:r>
      <w:r>
        <w:rPr>
          <w:rFonts w:hint="eastAsia" w:ascii="楷体_GB2312" w:hAnsi="楷体_GB2312" w:eastAsia="楷体_GB2312" w:cs="楷体_GB2312"/>
          <w:b/>
          <w:bCs/>
          <w:color w:val="auto"/>
          <w:sz w:val="32"/>
          <w:szCs w:val="32"/>
          <w:highlight w:val="none"/>
          <w:lang w:val="en-US" w:eastAsia="zh-CN"/>
        </w:rPr>
        <w:t>1年。计划立项4</w:t>
      </w:r>
      <w:r>
        <w:rPr>
          <w:rFonts w:hint="eastAsia" w:ascii="楷体_GB2312" w:hAnsi="楷体_GB2312" w:eastAsia="楷体_GB2312" w:cs="楷体_GB2312"/>
          <w:b/>
          <w:bCs/>
          <w:color w:val="auto"/>
          <w:sz w:val="32"/>
          <w:szCs w:val="32"/>
          <w:highlight w:val="none"/>
          <w:lang w:val="en-US" w:eastAsia="zh-CN"/>
        </w:rPr>
        <w:t>0-70</w:t>
      </w:r>
      <w:r>
        <w:rPr>
          <w:rFonts w:hint="eastAsia" w:ascii="楷体_GB2312" w:hAnsi="楷体_GB2312" w:eastAsia="楷体_GB2312" w:cs="楷体_GB2312"/>
          <w:b/>
          <w:bCs/>
          <w:color w:val="auto"/>
          <w:sz w:val="32"/>
          <w:szCs w:val="32"/>
          <w:highlight w:val="none"/>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1.习近平总书记关于网络强国的重要论述与山东实践研究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2.山东数字强省建设研究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3.“十四五”期间山东数字化改革创新理论研究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4.山东省数字法治体系建设研究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5.山东省“掌上政务”建设研究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6.数字经济赋能山东“双循环”发展新格局研究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7.山东数据要素市场化研究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8.山东新型智慧城市建设研究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9.山东省数字基础设施建设研究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10.山东乡村振兴数字化建设研究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11.山东省一体化政务服务体系优化路径研究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12.打造山东大数据安全体系研究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13.打造山东大数据治理体系研究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14.打造山东大数据标准体系研究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15.山东大数据人才培育和招引机制研究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16.大数据普及应用研究</w:t>
      </w:r>
    </w:p>
    <w:p>
      <w:pPr>
        <w:pStyle w:val="2"/>
        <w:spacing w:line="600" w:lineRule="exact"/>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九、平安山东法治山东建设研究专项 </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为认真学习贯彻习近平总书记</w:t>
      </w:r>
      <w:r>
        <w:rPr>
          <w:rFonts w:hint="eastAsia" w:ascii="楷体_GB2312" w:hAnsi="楷体_GB2312" w:eastAsia="楷体_GB2312" w:cs="楷体_GB2312"/>
          <w:b/>
          <w:bCs/>
          <w:color w:val="auto"/>
          <w:sz w:val="32"/>
          <w:szCs w:val="32"/>
          <w:highlight w:val="none"/>
          <w:lang w:val="en-US" w:eastAsia="zh-CN"/>
        </w:rPr>
        <w:t>法治思想，落实</w:t>
      </w:r>
      <w:r>
        <w:rPr>
          <w:rFonts w:hint="eastAsia" w:ascii="楷体_GB2312" w:hAnsi="楷体_GB2312" w:eastAsia="楷体_GB2312" w:cs="楷体_GB2312"/>
          <w:b/>
          <w:bCs/>
          <w:color w:val="auto"/>
          <w:sz w:val="32"/>
          <w:szCs w:val="32"/>
          <w:highlight w:val="none"/>
        </w:rPr>
        <w:t>全面依法治国新理念新思想新战略，</w:t>
      </w: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加快推进新时代现代化强省建设提供法治实践研究和创新理论支撑</w:t>
      </w:r>
      <w:r>
        <w:rPr>
          <w:rFonts w:hint="eastAsia" w:ascii="楷体_GB2312" w:hAnsi="楷体_GB2312" w:eastAsia="楷体_GB2312" w:cs="楷体_GB2312"/>
          <w:b/>
          <w:bCs/>
          <w:color w:val="auto"/>
          <w:sz w:val="32"/>
          <w:szCs w:val="32"/>
          <w:highlight w:val="none"/>
          <w:lang w:eastAsia="zh-CN"/>
        </w:rPr>
        <w:t>，设立该专项。</w:t>
      </w:r>
      <w:r>
        <w:rPr>
          <w:rFonts w:hint="eastAsia" w:ascii="楷体_GB2312" w:hAnsi="楷体_GB2312" w:eastAsia="楷体_GB2312" w:cs="楷体_GB2312"/>
          <w:b/>
          <w:bCs/>
          <w:color w:val="auto"/>
          <w:sz w:val="32"/>
          <w:szCs w:val="32"/>
          <w:highlight w:val="none"/>
        </w:rPr>
        <w:t>申报</w:t>
      </w:r>
      <w:r>
        <w:rPr>
          <w:rFonts w:hint="eastAsia" w:ascii="楷体_GB2312" w:hAnsi="楷体_GB2312" w:eastAsia="楷体_GB2312" w:cs="楷体_GB2312"/>
          <w:b/>
          <w:bCs/>
          <w:color w:val="auto"/>
          <w:sz w:val="32"/>
          <w:szCs w:val="32"/>
          <w:highlight w:val="none"/>
          <w:lang w:eastAsia="zh-CN"/>
        </w:rPr>
        <w:t>者</w:t>
      </w:r>
      <w:r>
        <w:rPr>
          <w:rFonts w:hint="eastAsia" w:ascii="楷体_GB2312" w:hAnsi="楷体_GB2312" w:eastAsia="楷体_GB2312" w:cs="楷体_GB2312"/>
          <w:b/>
          <w:bCs/>
          <w:color w:val="auto"/>
          <w:sz w:val="32"/>
          <w:szCs w:val="32"/>
          <w:highlight w:val="none"/>
        </w:rPr>
        <w:t>须具有副高级以上（含）专业技术职称（职务）或从事法律事务工作担任正处级以上（含）职务，并由法学理论界与政法实务部门组成课题组申报。申报主题必须在本课题指南范围内，超出课题指南规定范围的无效。申</w:t>
      </w:r>
      <w:r>
        <w:rPr>
          <w:rFonts w:hint="eastAsia" w:ascii="楷体_GB2312" w:hAnsi="楷体_GB2312" w:eastAsia="楷体_GB2312" w:cs="楷体_GB2312"/>
          <w:b/>
          <w:bCs/>
          <w:color w:val="auto"/>
          <w:sz w:val="32"/>
          <w:szCs w:val="32"/>
          <w:highlight w:val="none"/>
          <w:lang w:eastAsia="zh-CN"/>
        </w:rPr>
        <w:t>报者</w:t>
      </w:r>
      <w:r>
        <w:rPr>
          <w:rFonts w:hint="eastAsia" w:ascii="楷体_GB2312" w:hAnsi="楷体_GB2312" w:eastAsia="楷体_GB2312" w:cs="楷体_GB2312"/>
          <w:b/>
          <w:bCs/>
          <w:color w:val="auto"/>
          <w:sz w:val="32"/>
          <w:szCs w:val="32"/>
          <w:highlight w:val="none"/>
        </w:rPr>
        <w:t>可根据研究专长、角度、方法，自拟</w:t>
      </w:r>
      <w:r>
        <w:rPr>
          <w:rFonts w:hint="eastAsia" w:ascii="楷体_GB2312" w:hAnsi="楷体_GB2312" w:eastAsia="楷体_GB2312" w:cs="楷体_GB2312"/>
          <w:b/>
          <w:bCs/>
          <w:color w:val="auto"/>
          <w:sz w:val="32"/>
          <w:szCs w:val="32"/>
          <w:highlight w:val="none"/>
          <w:lang w:eastAsia="zh-CN"/>
        </w:rPr>
        <w:t>题目</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完成</w:t>
      </w:r>
      <w:r>
        <w:rPr>
          <w:rFonts w:hint="eastAsia" w:ascii="楷体_GB2312" w:hAnsi="楷体_GB2312" w:eastAsia="楷体_GB2312" w:cs="楷体_GB2312"/>
          <w:b/>
          <w:bCs/>
          <w:color w:val="auto"/>
          <w:sz w:val="32"/>
          <w:szCs w:val="32"/>
          <w:highlight w:val="none"/>
        </w:rPr>
        <w:t>期限为</w:t>
      </w:r>
      <w:r>
        <w:rPr>
          <w:rFonts w:hint="eastAsia" w:ascii="楷体_GB2312" w:hAnsi="楷体_GB2312" w:eastAsia="楷体_GB2312" w:cs="楷体_GB2312"/>
          <w:b/>
          <w:bCs/>
          <w:color w:val="auto"/>
          <w:sz w:val="32"/>
          <w:szCs w:val="32"/>
          <w:highlight w:val="none"/>
          <w:lang w:val="en-US" w:eastAsia="zh-CN"/>
        </w:rPr>
        <w:t>6</w:t>
      </w:r>
      <w:r>
        <w:rPr>
          <w:rFonts w:hint="eastAsia" w:ascii="楷体_GB2312" w:hAnsi="楷体_GB2312" w:eastAsia="楷体_GB2312" w:cs="楷体_GB2312"/>
          <w:b/>
          <w:bCs/>
          <w:color w:val="auto"/>
          <w:sz w:val="32"/>
          <w:szCs w:val="32"/>
          <w:highlight w:val="none"/>
        </w:rPr>
        <w:t>个月</w:t>
      </w:r>
      <w:r>
        <w:rPr>
          <w:rFonts w:hint="eastAsia"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color w:val="auto"/>
          <w:sz w:val="32"/>
          <w:szCs w:val="32"/>
          <w:highlight w:val="none"/>
        </w:rPr>
        <w:t>成果形式为不少于</w:t>
      </w:r>
      <w:r>
        <w:rPr>
          <w:rFonts w:hint="eastAsia" w:ascii="楷体_GB2312" w:hAnsi="楷体_GB2312" w:eastAsia="楷体_GB2312" w:cs="楷体_GB2312"/>
          <w:b/>
          <w:bCs/>
          <w:color w:val="auto"/>
          <w:sz w:val="32"/>
          <w:szCs w:val="32"/>
          <w:highlight w:val="none"/>
          <w:lang w:val="en-US" w:eastAsia="zh-CN"/>
        </w:rPr>
        <w:t>10000</w:t>
      </w:r>
      <w:r>
        <w:rPr>
          <w:rFonts w:hint="eastAsia" w:ascii="楷体_GB2312" w:hAnsi="楷体_GB2312" w:eastAsia="楷体_GB2312" w:cs="楷体_GB2312"/>
          <w:b/>
          <w:bCs/>
          <w:color w:val="auto"/>
          <w:sz w:val="32"/>
          <w:szCs w:val="32"/>
          <w:highlight w:val="none"/>
        </w:rPr>
        <w:t>字</w:t>
      </w:r>
      <w:r>
        <w:rPr>
          <w:rFonts w:hint="eastAsia" w:ascii="楷体_GB2312" w:hAnsi="楷体_GB2312" w:eastAsia="楷体_GB2312" w:cs="楷体_GB2312"/>
          <w:b/>
          <w:bCs/>
          <w:color w:val="auto"/>
          <w:sz w:val="32"/>
          <w:szCs w:val="32"/>
          <w:highlight w:val="none"/>
          <w:lang w:eastAsia="zh-CN"/>
        </w:rPr>
        <w:t>的</w:t>
      </w:r>
      <w:r>
        <w:rPr>
          <w:rFonts w:hint="eastAsia" w:ascii="楷体_GB2312" w:hAnsi="楷体_GB2312" w:eastAsia="楷体_GB2312" w:cs="楷体_GB2312"/>
          <w:b/>
          <w:bCs/>
          <w:color w:val="auto"/>
          <w:sz w:val="32"/>
          <w:szCs w:val="32"/>
          <w:highlight w:val="none"/>
        </w:rPr>
        <w:t>调研报告</w:t>
      </w:r>
      <w:r>
        <w:rPr>
          <w:rFonts w:hint="eastAsia" w:ascii="楷体_GB2312" w:hAnsi="楷体_GB2312" w:eastAsia="楷体_GB2312" w:cs="楷体_GB2312"/>
          <w:b/>
          <w:bCs/>
          <w:color w:val="auto"/>
          <w:sz w:val="32"/>
          <w:szCs w:val="32"/>
          <w:highlight w:val="none"/>
          <w:lang w:eastAsia="zh-CN"/>
        </w:rPr>
        <w:t>及</w:t>
      </w:r>
      <w:r>
        <w:rPr>
          <w:rFonts w:hint="eastAsia" w:ascii="楷体_GB2312" w:hAnsi="楷体_GB2312" w:eastAsia="楷体_GB2312" w:cs="楷体_GB2312"/>
          <w:b/>
          <w:bCs/>
          <w:color w:val="auto"/>
          <w:sz w:val="32"/>
          <w:szCs w:val="32"/>
          <w:highlight w:val="none"/>
        </w:rPr>
        <w:t>1500字左右的</w:t>
      </w:r>
      <w:r>
        <w:rPr>
          <w:rFonts w:hint="eastAsia" w:ascii="楷体_GB2312" w:hAnsi="楷体_GB2312" w:eastAsia="楷体_GB2312" w:cs="楷体_GB2312"/>
          <w:b/>
          <w:bCs/>
          <w:color w:val="auto"/>
          <w:sz w:val="32"/>
          <w:szCs w:val="32"/>
          <w:highlight w:val="none"/>
          <w:lang w:eastAsia="zh-CN"/>
        </w:rPr>
        <w:t>智库建言报告。</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30</w:t>
      </w:r>
      <w:r>
        <w:rPr>
          <w:rFonts w:hint="eastAsia" w:ascii="楷体_GB2312" w:hAnsi="楷体_GB2312" w:eastAsia="楷体_GB2312" w:cs="楷体_GB2312"/>
          <w:b/>
          <w:bCs/>
          <w:color w:val="auto"/>
          <w:sz w:val="32"/>
          <w:szCs w:val="32"/>
          <w:highlight w:val="none"/>
          <w:lang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1.习近平法治思想与山东实践研究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2.贯彻《中国共产党政法工作条例》理论与实践研究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3.法治化营商环境保障山东经济社会高质量发展研究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4.打造具有山东特点的社会治理品牌研究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5.市域社会治理现代化理论与实践研究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6.非诉讼纠纷解决机制建设研究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7.扫黑除恶常态化机制建设研究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8.新技术新业态风险防范化解研究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9.深化办案运行机制、诉讼制度、执法司法制约监督体系改革研究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10.民法典实施相关问题研究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11.加强涉外法治人才队伍建设研究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12.加快政法新媒体矩阵平台构建研究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13.加强新型政法智库建设研究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14.深化齐鲁法治文化建设研究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 xml:space="preserve">十、弘扬中华优秀传统文化研究专项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该专项主要围绕我省优秀传统文化的研究阐发，提炼展示我省优秀传统文化的精神标识，特别是其中具有当代价值、世界意义的文化精髓，推动中华优秀传统文化创造性转化、创新性发展。同时，着眼于用中华优秀传统文化涵养干部为政之德，设立此专项。</w:t>
      </w:r>
    </w:p>
    <w:p>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该专项由两部分组成，即“传统文化研究专题”和“干部政德教育研究专题”。申报者应紧扣选题研究方向，结合我省实际，自行设计具体题目。成果形式为研究报告的，申请</w:t>
      </w:r>
      <w:r>
        <w:rPr>
          <w:rFonts w:hint="eastAsia" w:ascii="楷体_GB2312" w:hAnsi="楷体_GB2312" w:eastAsia="楷体_GB2312" w:cs="楷体_GB2312"/>
          <w:b/>
          <w:bCs/>
          <w:color w:val="auto"/>
          <w:sz w:val="32"/>
          <w:szCs w:val="32"/>
          <w:highlight w:val="none"/>
          <w:lang w:val="en-US" w:eastAsia="zh-CN"/>
        </w:rPr>
        <w:t>结项时需附送立项后在有国家正式刊号的期刊上发表的、与项目研究相关的阶段性成果1篇。</w:t>
      </w:r>
      <w:r>
        <w:rPr>
          <w:rFonts w:hint="eastAsia" w:ascii="楷体_GB2312" w:hAnsi="楷体_GB2312" w:eastAsia="楷体_GB2312" w:cs="楷体_GB2312"/>
          <w:b/>
          <w:bCs/>
          <w:color w:val="auto"/>
          <w:sz w:val="32"/>
          <w:szCs w:val="32"/>
          <w:highlight w:val="none"/>
          <w:lang w:val="en-US" w:eastAsia="zh-CN"/>
        </w:rPr>
        <w:t>完成时限为1年。传统文化研究专题计划立项18项，</w:t>
      </w:r>
      <w:r>
        <w:rPr>
          <w:rFonts w:hint="eastAsia" w:ascii="楷体_GB2312" w:hAnsi="楷体_GB2312" w:eastAsia="楷体_GB2312" w:cs="楷体_GB2312"/>
          <w:b/>
          <w:bCs w:val="0"/>
          <w:color w:val="auto"/>
          <w:sz w:val="32"/>
          <w:szCs w:val="32"/>
          <w:highlight w:val="none"/>
          <w:lang w:val="en-US" w:eastAsia="zh-CN"/>
        </w:rPr>
        <w:t>申报材料中的项目类别为</w:t>
      </w:r>
      <w:r>
        <w:rPr>
          <w:rFonts w:hint="eastAsia" w:ascii="楷体_GB2312" w:hAnsi="楷体_GB2312" w:eastAsia="楷体_GB2312" w:cs="楷体_GB2312"/>
          <w:b/>
          <w:bCs/>
          <w:color w:val="auto"/>
          <w:sz w:val="32"/>
          <w:szCs w:val="32"/>
          <w:highlight w:val="none"/>
          <w:lang w:val="en-US" w:eastAsia="zh-CN"/>
        </w:rPr>
        <w:t>“传统文化研究专题”。干部政德研究专题计划立项</w:t>
      </w:r>
      <w:r>
        <w:rPr>
          <w:rFonts w:hint="eastAsia" w:ascii="楷体_GB2312" w:hAnsi="楷体_GB2312" w:eastAsia="楷体_GB2312" w:cs="楷体_GB2312"/>
          <w:b/>
          <w:bCs/>
          <w:color w:val="auto"/>
          <w:sz w:val="32"/>
          <w:szCs w:val="32"/>
          <w:highlight w:val="none"/>
          <w:lang w:val="en-US" w:eastAsia="zh-CN"/>
        </w:rPr>
        <w:t>12</w:t>
      </w:r>
      <w:r>
        <w:rPr>
          <w:rFonts w:hint="eastAsia" w:ascii="楷体_GB2312" w:hAnsi="楷体_GB2312" w:eastAsia="楷体_GB2312" w:cs="楷体_GB2312"/>
          <w:b/>
          <w:bCs/>
          <w:color w:val="auto"/>
          <w:sz w:val="32"/>
          <w:szCs w:val="32"/>
          <w:highlight w:val="none"/>
          <w:lang w:val="en-US" w:eastAsia="zh-CN"/>
        </w:rPr>
        <w:t>项，</w:t>
      </w:r>
      <w:r>
        <w:rPr>
          <w:rFonts w:hint="eastAsia" w:ascii="楷体_GB2312" w:hAnsi="楷体_GB2312" w:eastAsia="楷体_GB2312" w:cs="楷体_GB2312"/>
          <w:b/>
          <w:bCs w:val="0"/>
          <w:color w:val="auto"/>
          <w:sz w:val="32"/>
          <w:szCs w:val="32"/>
          <w:highlight w:val="none"/>
          <w:lang w:val="en-US" w:eastAsia="zh-CN"/>
        </w:rPr>
        <w:t>申报材料中的项目类别为</w:t>
      </w:r>
      <w:r>
        <w:rPr>
          <w:rFonts w:hint="eastAsia" w:ascii="楷体_GB2312" w:hAnsi="楷体_GB2312" w:eastAsia="楷体_GB2312" w:cs="楷体_GB2312"/>
          <w:b/>
          <w:bCs/>
          <w:color w:val="auto"/>
          <w:sz w:val="32"/>
          <w:szCs w:val="32"/>
          <w:highlight w:val="none"/>
          <w:lang w:val="en-US" w:eastAsia="zh-CN"/>
        </w:rPr>
        <w:t>“干部政德教育研究专题”。</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传统文化研究专题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1.坚持马克思主义与弘扬中华优秀传统文化结合研究</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中国共产党成立百年与</w:t>
      </w:r>
      <w:r>
        <w:rPr>
          <w:rFonts w:hint="eastAsia" w:ascii="仿宋_GB2312" w:hAnsi="仿宋_GB2312" w:eastAsia="仿宋_GB2312" w:cs="仿宋_GB2312"/>
          <w:b/>
          <w:bCs/>
          <w:color w:val="auto"/>
          <w:sz w:val="32"/>
          <w:szCs w:val="32"/>
          <w:highlight w:val="none"/>
          <w:lang w:eastAsia="zh-CN"/>
        </w:rPr>
        <w:t>弘扬</w:t>
      </w:r>
      <w:r>
        <w:rPr>
          <w:rFonts w:hint="eastAsia" w:ascii="仿宋_GB2312" w:hAnsi="仿宋_GB2312" w:eastAsia="仿宋_GB2312" w:cs="仿宋_GB2312"/>
          <w:b/>
          <w:bCs/>
          <w:color w:val="auto"/>
          <w:sz w:val="32"/>
          <w:szCs w:val="32"/>
          <w:highlight w:val="none"/>
        </w:rPr>
        <w:t>中华优秀传统文化研究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3.中华优秀传统文化创造性转化、创新性发展的山东实践研究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4.齐鲁优秀传统农耕文化研究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5.传统文化的网络传播研究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6.齐文化的内涵与当代价值研究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7.山东中医药文化内涵与特质研究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8.黄河文化研究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9.泰山文化研究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10.运河文化研究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11.齐长城文化研究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12.山东海疆文化研究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13.墨子文化研究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14.孙子文化研究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 xml:space="preserve">干部政德教育研究专题  </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1.中华优秀传统文化中的政德思想研究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2.新时代习近平政德观研究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3.中华优秀传统文化融入干部政德教育研究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4.新时代领导干部文化自信培育研究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5.仁政民本思想在基层社会治理中的价值研究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6.和为贵理念在基层社会治理中的运用研究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7.传统乡规民约在基层社会治理中的作用研究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8.红色文化中的传统文化基因研究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9.中华优秀家风家训与领导干部家风建设研究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十一、文化旅游研究专项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助力文化和旅游产业融合发展、推动文化旅游强省建设</w:t>
      </w:r>
      <w:r>
        <w:rPr>
          <w:rFonts w:hint="eastAsia" w:ascii="楷体_GB2312" w:hAnsi="楷体_GB2312" w:eastAsia="楷体_GB2312" w:cs="楷体_GB2312"/>
          <w:b/>
          <w:bCs/>
          <w:color w:val="auto"/>
          <w:sz w:val="32"/>
          <w:szCs w:val="32"/>
          <w:highlight w:val="none"/>
          <w:lang w:eastAsia="zh-CN"/>
        </w:rPr>
        <w:t>，设立该专项。</w:t>
      </w:r>
      <w:r>
        <w:rPr>
          <w:rFonts w:hint="eastAsia" w:ascii="楷体_GB2312" w:hAnsi="楷体_GB2312" w:eastAsia="楷体_GB2312" w:cs="楷体_GB2312"/>
          <w:b/>
          <w:bCs/>
          <w:color w:val="auto"/>
          <w:sz w:val="32"/>
          <w:szCs w:val="32"/>
          <w:highlight w:val="none"/>
        </w:rPr>
        <w:t>申报者</w:t>
      </w:r>
      <w:r>
        <w:rPr>
          <w:rFonts w:hint="eastAsia" w:ascii="楷体_GB2312" w:hAnsi="楷体_GB2312" w:eastAsia="楷体_GB2312" w:cs="楷体_GB2312"/>
          <w:b/>
          <w:bCs/>
          <w:color w:val="auto"/>
          <w:sz w:val="32"/>
          <w:szCs w:val="32"/>
          <w:highlight w:val="none"/>
          <w:lang w:eastAsia="zh-CN"/>
        </w:rPr>
        <w:t>应</w:t>
      </w:r>
      <w:r>
        <w:rPr>
          <w:rFonts w:hint="eastAsia" w:ascii="楷体_GB2312" w:hAnsi="楷体_GB2312" w:eastAsia="楷体_GB2312" w:cs="楷体_GB2312"/>
          <w:b/>
          <w:bCs/>
          <w:color w:val="auto"/>
          <w:sz w:val="32"/>
          <w:szCs w:val="32"/>
          <w:highlight w:val="none"/>
        </w:rPr>
        <w:t>紧扣选题研究方向，结合我省</w:t>
      </w:r>
      <w:r>
        <w:rPr>
          <w:rFonts w:hint="eastAsia" w:ascii="楷体_GB2312" w:hAnsi="楷体_GB2312" w:eastAsia="楷体_GB2312" w:cs="楷体_GB2312"/>
          <w:b/>
          <w:bCs/>
          <w:color w:val="auto"/>
          <w:sz w:val="32"/>
          <w:szCs w:val="32"/>
          <w:highlight w:val="none"/>
          <w:lang w:val="en-US" w:eastAsia="zh-CN"/>
        </w:rPr>
        <w:t>文化和旅游</w:t>
      </w:r>
      <w:r>
        <w:rPr>
          <w:rFonts w:hint="eastAsia" w:ascii="楷体_GB2312" w:hAnsi="楷体_GB2312" w:eastAsia="楷体_GB2312" w:cs="楷体_GB2312"/>
          <w:b/>
          <w:bCs/>
          <w:color w:val="auto"/>
          <w:sz w:val="32"/>
          <w:szCs w:val="32"/>
          <w:highlight w:val="none"/>
        </w:rPr>
        <w:t>发展实际，自行设计</w:t>
      </w:r>
      <w:r>
        <w:rPr>
          <w:rFonts w:hint="eastAsia" w:ascii="楷体_GB2312" w:hAnsi="楷体_GB2312" w:eastAsia="楷体_GB2312" w:cs="楷体_GB2312"/>
          <w:b/>
          <w:bCs/>
          <w:color w:val="auto"/>
          <w:sz w:val="32"/>
          <w:szCs w:val="32"/>
          <w:highlight w:val="none"/>
          <w:lang w:eastAsia="zh-CN"/>
        </w:rPr>
        <w:t>具体题目。选题</w:t>
      </w:r>
      <w:r>
        <w:rPr>
          <w:rFonts w:hint="eastAsia" w:ascii="楷体_GB2312" w:hAnsi="楷体_GB2312" w:eastAsia="楷体_GB2312" w:cs="楷体_GB2312"/>
          <w:b/>
          <w:bCs/>
          <w:color w:val="auto"/>
          <w:sz w:val="32"/>
          <w:szCs w:val="32"/>
          <w:highlight w:val="none"/>
        </w:rPr>
        <w:t>力求具有较强的理论性和现实针对性。</w:t>
      </w:r>
      <w:r>
        <w:rPr>
          <w:rFonts w:hint="eastAsia" w:ascii="楷体_GB2312" w:hAnsi="楷体_GB2312" w:eastAsia="楷体_GB2312" w:cs="楷体_GB2312"/>
          <w:b/>
          <w:bCs/>
          <w:color w:val="auto"/>
          <w:sz w:val="32"/>
          <w:szCs w:val="32"/>
          <w:highlight w:val="none"/>
          <w:lang w:eastAsia="zh-CN"/>
        </w:rPr>
        <w:t>成</w:t>
      </w:r>
      <w:r>
        <w:rPr>
          <w:rFonts w:hint="eastAsia" w:ascii="楷体_GB2312" w:hAnsi="楷体_GB2312" w:eastAsia="楷体_GB2312" w:cs="楷体_GB2312"/>
          <w:b/>
          <w:bCs/>
          <w:color w:val="auto"/>
          <w:sz w:val="32"/>
          <w:szCs w:val="32"/>
          <w:highlight w:val="none"/>
        </w:rPr>
        <w:t>果形式</w:t>
      </w:r>
      <w:r>
        <w:rPr>
          <w:rFonts w:hint="eastAsia" w:ascii="楷体_GB2312" w:hAnsi="楷体_GB2312" w:eastAsia="楷体_GB2312" w:cs="楷体_GB2312"/>
          <w:b/>
          <w:bCs/>
          <w:color w:val="auto"/>
          <w:sz w:val="32"/>
          <w:szCs w:val="32"/>
          <w:highlight w:val="none"/>
          <w:lang w:eastAsia="zh-CN"/>
        </w:rPr>
        <w:t>为</w:t>
      </w:r>
      <w:r>
        <w:rPr>
          <w:rFonts w:hint="eastAsia" w:ascii="楷体_GB2312" w:hAnsi="楷体_GB2312" w:eastAsia="楷体_GB2312" w:cs="楷体_GB2312"/>
          <w:b/>
          <w:bCs/>
          <w:color w:val="auto"/>
          <w:sz w:val="32"/>
          <w:szCs w:val="32"/>
          <w:highlight w:val="none"/>
        </w:rPr>
        <w:t>研究报告</w:t>
      </w:r>
      <w:r>
        <w:rPr>
          <w:rFonts w:hint="eastAsia" w:ascii="楷体_GB2312" w:hAnsi="楷体_GB2312" w:eastAsia="楷体_GB2312" w:cs="楷体_GB2312"/>
          <w:b/>
          <w:bCs/>
          <w:color w:val="auto"/>
          <w:sz w:val="32"/>
          <w:szCs w:val="32"/>
          <w:highlight w:val="none"/>
          <w:lang w:eastAsia="zh-CN"/>
        </w:rPr>
        <w:t>的</w:t>
      </w: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申请</w:t>
      </w:r>
      <w:r>
        <w:rPr>
          <w:rFonts w:hint="eastAsia" w:ascii="楷体_GB2312" w:hAnsi="楷体_GB2312" w:eastAsia="楷体_GB2312" w:cs="楷体_GB2312"/>
          <w:b/>
          <w:bCs/>
          <w:color w:val="auto"/>
          <w:sz w:val="32"/>
          <w:szCs w:val="32"/>
          <w:highlight w:val="none"/>
        </w:rPr>
        <w:t>结项</w:t>
      </w:r>
      <w:r>
        <w:rPr>
          <w:rFonts w:hint="eastAsia" w:ascii="楷体_GB2312" w:hAnsi="楷体_GB2312" w:eastAsia="楷体_GB2312" w:cs="楷体_GB2312"/>
          <w:b/>
          <w:bCs/>
          <w:color w:val="auto"/>
          <w:sz w:val="32"/>
          <w:szCs w:val="32"/>
          <w:highlight w:val="none"/>
          <w:lang w:eastAsia="zh-CN"/>
        </w:rPr>
        <w:t>时</w:t>
      </w:r>
      <w:r>
        <w:rPr>
          <w:rFonts w:hint="eastAsia" w:ascii="楷体_GB2312" w:hAnsi="楷体_GB2312" w:eastAsia="楷体_GB2312" w:cs="楷体_GB2312"/>
          <w:b/>
          <w:bCs/>
          <w:color w:val="auto"/>
          <w:sz w:val="32"/>
          <w:szCs w:val="32"/>
          <w:highlight w:val="none"/>
        </w:rPr>
        <w:t>需附送立项后在</w:t>
      </w:r>
      <w:r>
        <w:rPr>
          <w:rFonts w:hint="eastAsia" w:ascii="楷体_GB2312" w:hAnsi="楷体_GB2312" w:eastAsia="楷体_GB2312" w:cs="楷体_GB2312"/>
          <w:b/>
          <w:bCs/>
          <w:color w:val="auto"/>
          <w:sz w:val="32"/>
          <w:szCs w:val="32"/>
          <w:highlight w:val="none"/>
          <w:lang w:eastAsia="zh-CN"/>
        </w:rPr>
        <w:t>有</w:t>
      </w:r>
      <w:r>
        <w:rPr>
          <w:rFonts w:hint="eastAsia" w:ascii="楷体_GB2312" w:hAnsi="楷体_GB2312" w:eastAsia="楷体_GB2312" w:cs="楷体_GB2312"/>
          <w:b/>
          <w:bCs/>
          <w:color w:val="auto"/>
          <w:sz w:val="32"/>
          <w:szCs w:val="32"/>
          <w:highlight w:val="none"/>
        </w:rPr>
        <w:t>国家正式刊号的期刊上发表的与研究相关的阶段性成果1篇。</w:t>
      </w:r>
      <w:r>
        <w:rPr>
          <w:rFonts w:hint="eastAsia" w:ascii="楷体_GB2312" w:hAnsi="楷体_GB2312" w:eastAsia="楷体_GB2312" w:cs="楷体_GB2312"/>
          <w:b/>
          <w:bCs/>
          <w:color w:val="auto"/>
          <w:sz w:val="32"/>
          <w:szCs w:val="32"/>
          <w:highlight w:val="none"/>
          <w:lang w:eastAsia="zh-CN"/>
        </w:rPr>
        <w:t>完成时限</w:t>
      </w:r>
      <w:r>
        <w:rPr>
          <w:rFonts w:hint="eastAsia" w:ascii="楷体_GB2312" w:hAnsi="楷体_GB2312" w:eastAsia="楷体_GB2312" w:cs="楷体_GB2312"/>
          <w:b/>
          <w:bCs/>
          <w:color w:val="auto"/>
          <w:sz w:val="32"/>
          <w:szCs w:val="32"/>
          <w:highlight w:val="none"/>
          <w:lang w:val="en-US" w:eastAsia="zh-CN"/>
        </w:rPr>
        <w:t>1年</w:t>
      </w:r>
      <w:r>
        <w:rPr>
          <w:rFonts w:hint="eastAsia" w:ascii="楷体_GB2312" w:hAnsi="楷体_GB2312" w:eastAsia="楷体_GB2312" w:cs="楷体_GB2312"/>
          <w:b/>
          <w:bCs/>
          <w:color w:val="auto"/>
          <w:sz w:val="32"/>
          <w:szCs w:val="32"/>
          <w:highlight w:val="none"/>
          <w:lang w:val="en-US" w:eastAsia="zh-CN"/>
        </w:rPr>
        <w:t>。计划立项60项。</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1.山东红色文化保护传承研究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2.山东重点文物保护发展研究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3.齐长城国家文化公园建设研究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4.工业、康养、体育、研学等文旅融合新业态研究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5.山东全域旅游创新发展路径研究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6.山东文化和旅游数字化建设研究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7.山东文化遗产保护传承与乡村旅游发展研究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8.山东文化和旅游公共服务体系高质量发展研究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9.山东文化演艺与旅游高质量发展研究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10.提升我省文化创意和精品旅游研究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11.加强山东文化和旅游市场管理研究</w:t>
      </w:r>
    </w:p>
    <w:p>
      <w:pPr>
        <w:pStyle w:val="2"/>
        <w:spacing w:line="600" w:lineRule="exact"/>
        <w:rPr>
          <w:rFonts w:hint="eastAsia"/>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 xml:space="preserve">十二、山东人才研究专项 </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eastAsia" w:ascii="黑体" w:hAnsi="黑体" w:eastAsia="黑体" w:cs="黑体"/>
          <w:b/>
          <w:bCs/>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该专项为贯彻落实“人才兴鲁”战略，聚焦聚力打造人才高地设立，由三部分组成：“齐鲁文化人才研究专题”“山东人才发展研究专题”和“智库高端人才培育研究专题”。</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齐鲁文化人才研究专题，</w:t>
      </w:r>
      <w:r>
        <w:rPr>
          <w:rFonts w:hint="eastAsia" w:ascii="楷体_GB2312" w:hAnsi="楷体_GB2312" w:eastAsia="楷体_GB2312" w:cs="楷体_GB2312"/>
          <w:b/>
          <w:bCs/>
          <w:color w:val="auto"/>
          <w:sz w:val="32"/>
          <w:szCs w:val="32"/>
          <w:highlight w:val="none"/>
        </w:rPr>
        <w:t>凡入选齐鲁文化名家、齐鲁文化英才的，可结合从事专业和研究领域，自行设计研究选题</w:t>
      </w:r>
      <w:r>
        <w:rPr>
          <w:rFonts w:hint="eastAsia" w:ascii="楷体_GB2312" w:hAnsi="楷体_GB2312" w:eastAsia="楷体_GB2312" w:cs="楷体_GB2312"/>
          <w:b/>
          <w:bCs/>
          <w:color w:val="auto"/>
          <w:sz w:val="32"/>
          <w:szCs w:val="32"/>
          <w:highlight w:val="none"/>
          <w:lang w:eastAsia="zh-CN"/>
        </w:rPr>
        <w:t>进行申报</w:t>
      </w:r>
      <w:r>
        <w:rPr>
          <w:rFonts w:hint="eastAsia" w:ascii="楷体_GB2312" w:hAnsi="楷体_GB2312" w:eastAsia="楷体_GB2312" w:cs="楷体_GB2312"/>
          <w:b/>
          <w:bCs/>
          <w:color w:val="auto"/>
          <w:sz w:val="32"/>
          <w:szCs w:val="32"/>
          <w:highlight w:val="none"/>
        </w:rPr>
        <w:t>，力求具有较强的理论性和现实针对性。每人每次只能申报一个项目，完成时限一般为1年，最长不超过2年。齐鲁文化人才专项资助经费，按照人才入选工程，分别从齐鲁文化名家工程、齐鲁文化英才工程专项资金中列支，申报者根据研究工作实际需要提出经费预算，由有关部门根据实际情况进行审定。齐鲁文化名家资助经费按照《齐鲁文化名家工程专项资金管理使用暂行办法》，采用后补助方式，待课题结项后，一次性拨付到齐鲁文化名家所在单位。专项资助款项，在每位齐鲁文化名家4年资助费总额度内列支。齐鲁文化英才承担的齐鲁文化人才专项，立项通过后，资助费按照《齐鲁文化英才工程专项资金管理使用暂行办法》，拨付到齐鲁文化英才所在单位。专项资助款项，在每位齐鲁文化英才每年不超过3万元的课题项目资助费中列支。承担齐鲁文化人才专项的齐鲁文化名家、齐鲁文化英才所在单位，给予本人及其团队相应的配套经费，并为其开展研究提供必要保障。申报齐鲁文化人才专项必须是期内入选的齐鲁文化名家、齐鲁文化英才</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val="0"/>
          <w:sz w:val="32"/>
          <w:szCs w:val="32"/>
          <w:highlight w:val="none"/>
          <w:lang w:val="en-US" w:eastAsia="zh-CN"/>
        </w:rPr>
        <w:t>申报材料中的项目类别为“</w:t>
      </w:r>
      <w:r>
        <w:rPr>
          <w:rFonts w:hint="eastAsia" w:ascii="楷体_GB2312" w:hAnsi="楷体_GB2312" w:eastAsia="楷体_GB2312" w:cs="楷体_GB2312"/>
          <w:b/>
          <w:bCs/>
          <w:color w:val="auto"/>
          <w:sz w:val="32"/>
          <w:szCs w:val="32"/>
          <w:highlight w:val="none"/>
          <w:lang w:eastAsia="zh-CN"/>
        </w:rPr>
        <w:t>齐鲁文化人才研究专题</w:t>
      </w:r>
      <w:r>
        <w:rPr>
          <w:rFonts w:hint="eastAsia" w:ascii="楷体_GB2312" w:hAnsi="楷体_GB2312" w:eastAsia="楷体_GB2312" w:cs="楷体_GB2312"/>
          <w:b/>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山东人才发展研究专题应紧紧围绕山东省经济社会发展对人才的实际需要，在深入广泛调研的基础上，按照原题开展前瞻性研究。所列条目为课题名称，请选择其一进行申报。计划每个题目立1项，共</w:t>
      </w:r>
      <w:r>
        <w:rPr>
          <w:rFonts w:hint="eastAsia" w:ascii="楷体_GB2312" w:hAnsi="楷体_GB2312" w:eastAsia="楷体_GB2312" w:cs="楷体_GB2312"/>
          <w:b/>
          <w:bCs w:val="0"/>
          <w:sz w:val="32"/>
          <w:szCs w:val="32"/>
          <w:highlight w:val="none"/>
          <w:lang w:val="en-US" w:eastAsia="zh-CN"/>
        </w:rPr>
        <w:t>立项15项</w:t>
      </w:r>
      <w:r>
        <w:rPr>
          <w:rFonts w:hint="eastAsia"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val="0"/>
          <w:sz w:val="32"/>
          <w:szCs w:val="32"/>
          <w:highlight w:val="none"/>
          <w:lang w:val="en-US" w:eastAsia="zh-CN"/>
        </w:rPr>
        <w:t>申报材料中的项目类别为“山东人才发展研究专题”。</w:t>
      </w:r>
    </w:p>
    <w:p>
      <w:pPr>
        <w:pStyle w:val="2"/>
        <w:keepNext w:val="0"/>
        <w:keepLines w:val="0"/>
        <w:pageBreakBefore w:val="0"/>
        <w:widowControl w:val="0"/>
        <w:tabs>
          <w:tab w:val="left" w:pos="936"/>
        </w:tabs>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智库高端人才培育研究专题，项目申报对象仅限于省智库高端人才。研究要立足山东省情，加强实地调查，力争推出高水平决策咨询成果。专题分为重点项目和一般项目。项目结项在报送研究报告进行鉴定的同时，重点项目需报送在全国中文核心期刊、中国人文社会科学核心期刊发表的阶段性研究成果1篇；一般项目需报送在有正式刊号的期刊上发表的阶段性成果1篇。重点项目完成时限一般不超过2年，一般项目完成时限一般不超过1年。计划立项21项，其中重点项目6项，一般项目15项。</w:t>
      </w:r>
      <w:r>
        <w:rPr>
          <w:rFonts w:hint="eastAsia" w:ascii="楷体_GB2312" w:hAnsi="楷体_GB2312" w:eastAsia="楷体_GB2312" w:cs="楷体_GB2312"/>
          <w:b/>
          <w:bCs w:val="0"/>
          <w:sz w:val="32"/>
          <w:szCs w:val="32"/>
          <w:highlight w:val="none"/>
          <w:lang w:val="en-US" w:eastAsia="zh-CN"/>
        </w:rPr>
        <w:t>申报材料中的项目类别为“</w:t>
      </w:r>
      <w:r>
        <w:rPr>
          <w:rFonts w:hint="eastAsia" w:ascii="楷体_GB2312" w:hAnsi="楷体_GB2312" w:eastAsia="楷体_GB2312" w:cs="楷体_GB2312"/>
          <w:b/>
          <w:bCs/>
          <w:color w:val="auto"/>
          <w:kern w:val="2"/>
          <w:sz w:val="32"/>
          <w:szCs w:val="32"/>
          <w:highlight w:val="none"/>
          <w:lang w:val="en-US" w:eastAsia="zh-CN" w:bidi="ar-SA"/>
        </w:rPr>
        <w:t>智库高端人才培育研究专题</w:t>
      </w:r>
      <w:r>
        <w:rPr>
          <w:rFonts w:hint="eastAsia" w:ascii="楷体_GB2312" w:hAnsi="楷体_GB2312" w:eastAsia="楷体_GB2312" w:cs="楷体_GB2312"/>
          <w:b/>
          <w:bCs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山东人才发展研究专题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1.省“十四五”人才发展规划编制研究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2.突出能力水平和业绩贡献导向的高层次人才测评体系研究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3.基于政策和服务的人才发展环境评估</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4.山东省省级人才工程遴选与验收评估体系研究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5.山东省人才工作目标责任制考核体系研究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6.深化山东省高校科研单位人才分类评价与激励对策研究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7.提升山东省人才发展市场化水平思路与对策研究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8.山东省技术经纪人培育路径研究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9.山东省人才飞地建设路径研究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10.“人才山东”品牌打造路径研究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11.提升山东省企业人才意识对策研究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12.山东省高校毕业生就业现状与职业发展研究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13.山东省16市人才竞争力现状分析与提升建议</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14.“十强”产业人才发展现状与未来需求分析</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15.山东省乡村人才振兴的现状与政策研究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智库高端人才培育研究专题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重点项目选题：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1.基于科教强省建设的人才结构与产业结构适配度研究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2.山东黄河流域水资源—-水生态承载力与新旧动能转换的平衡发展研究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3.新发展格局下的山东城乡融合发展研究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4.山东省海洋战略性新兴产业发展研究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5.山东省装备制造领域“十四五”科技创新突破的重点方向研究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6.推进我省创新创业生态系统建设的思路方法及政策研究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一般项目选题：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1.山东省营商环境优化的统筹实践问题研究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2.山东省“碳中和”实现路径与措施的系统性实用性研究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3.山东省留才引才机制研究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4.保持产业链供应链安全稳定助力构建山东新发展格局研究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5.山东有效释放创新动能机制研究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6.山东省高校科技成果产业化实施路径研究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7.优化科技金融产品和服务对策研究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8.创新型中小微企业成长案例研究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9.山东省重点领域创新力评估研究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10.山东省电子信息产业发展变化轨迹与趋势研究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11.新发展格局下山东先进制造业国际竞争力的提升机制和路径研究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12.山东省农业农村现代化指标体系构建研究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13.山东省提升应对重大公共卫生事件风险管控能力的策略研究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14.乡村文化资源挖掘与山东一村一品建设研究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 xml:space="preserve">十三、志愿服务理论研究专项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该专项要紧紧围绕习近平总书记关于志愿服务的重要论述，根据中宣部、中央文明办关于志愿服务工作重要部署，结合我省志愿服务工作实际开展研究。</w:t>
      </w:r>
      <w:r>
        <w:rPr>
          <w:rFonts w:hint="eastAsia" w:ascii="楷体_GB2312" w:hAnsi="楷体_GB2312" w:eastAsia="楷体_GB2312" w:cs="楷体_GB2312"/>
          <w:b/>
          <w:bCs/>
          <w:color w:val="auto"/>
          <w:sz w:val="32"/>
          <w:szCs w:val="32"/>
          <w:highlight w:val="none"/>
          <w:lang w:val="en-US" w:eastAsia="zh-CN"/>
        </w:rPr>
        <w:t>所列条目为课题名称，请选择其一进行申报。全省公办</w:t>
      </w:r>
      <w:r>
        <w:rPr>
          <w:rFonts w:hint="eastAsia" w:ascii="楷体_GB2312" w:hAnsi="楷体_GB2312" w:eastAsia="楷体_GB2312" w:cs="楷体_GB2312"/>
          <w:b/>
          <w:bCs/>
          <w:sz w:val="32"/>
          <w:szCs w:val="32"/>
          <w:highlight w:val="none"/>
          <w:lang w:val="en-US" w:eastAsia="zh-CN"/>
        </w:rPr>
        <w:t>本科高校，省级社科研究机构、党校（行政学院）具有副高以上职称或者博士学位的研究人员均可申报。成果形式为研究报告。申请结项时，重点项目需附送在全国中文核心期刊、中国人文社会科学核心期刊发表的阶段性成果1篇，一般项目需附送立项后在有国家正式刊号的期刊上发表的阶段性成果1篇。重点项目完成时限一般不超过2年，一般项目完成时限一般不超过1年。计划立项15项，其中，重点项目5项，一般项目10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重点项目选题：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1.山东省志愿服务制度化法治化研究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2.山东省关爱困境儿童志愿服务的探索与实践</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3.山东省新时代文明实践志愿服务发展路径创新研究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4.志愿服务参与基层社会治理制度化常态化研究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5.志愿服务纳入诚信体系建设研究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一般项目选题：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1.志愿者人口结构变化的影响及对策研究（性别、年龄、职业、收入水平、教育程度等）</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2.新社会阶层志愿者队伍建设研究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3.志愿服务组织孵化培育研究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4.民间志愿服务组织的发展困境及应对研究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5.企业志愿服务参与新时代文明实践模式与路径研究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6.志愿服务项目化运作机制与品牌化建设研究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7.常态化疫情防控背景下应急志愿服务体系建设研究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8.大数据背景下山东省志愿服务信息化建设研究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9.新时代文明实践中社会工作与志愿服务协同研究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10.新时代志愿服务发展趋势与规律研究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11.志愿服务常态长效机制研究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12.志愿服务评价考核体系研究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13.志愿服务激励保障机制研究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14.人口老龄化背景下的志愿服务机制研究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highlight w:val="none"/>
          <w:lang w:val="en-US" w:eastAsia="zh-CN"/>
        </w:rPr>
      </w:pPr>
    </w:p>
    <w:p>
      <w:pPr>
        <w:pStyle w:val="2"/>
        <w:rPr>
          <w:rFonts w:hint="eastAsia"/>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6275"/>
    <w:rsid w:val="00AB2353"/>
    <w:rsid w:val="00B244B4"/>
    <w:rsid w:val="00F14FE0"/>
    <w:rsid w:val="01114B59"/>
    <w:rsid w:val="015F5E25"/>
    <w:rsid w:val="01707198"/>
    <w:rsid w:val="01834D4B"/>
    <w:rsid w:val="01A93849"/>
    <w:rsid w:val="01EA3265"/>
    <w:rsid w:val="022351F3"/>
    <w:rsid w:val="02B011DA"/>
    <w:rsid w:val="02C469C1"/>
    <w:rsid w:val="02FA40AB"/>
    <w:rsid w:val="03044C94"/>
    <w:rsid w:val="031B4A60"/>
    <w:rsid w:val="036E78A0"/>
    <w:rsid w:val="03800506"/>
    <w:rsid w:val="03970114"/>
    <w:rsid w:val="03A2151C"/>
    <w:rsid w:val="03DA555B"/>
    <w:rsid w:val="03FD30A7"/>
    <w:rsid w:val="04047935"/>
    <w:rsid w:val="041C6065"/>
    <w:rsid w:val="04544243"/>
    <w:rsid w:val="04A95AA1"/>
    <w:rsid w:val="04CA4825"/>
    <w:rsid w:val="04E70A5B"/>
    <w:rsid w:val="051402B5"/>
    <w:rsid w:val="051E29E1"/>
    <w:rsid w:val="052E2437"/>
    <w:rsid w:val="054329E6"/>
    <w:rsid w:val="05870F0F"/>
    <w:rsid w:val="06663CB1"/>
    <w:rsid w:val="06800B2D"/>
    <w:rsid w:val="070A7AE4"/>
    <w:rsid w:val="0757253F"/>
    <w:rsid w:val="07B115CE"/>
    <w:rsid w:val="07B1235C"/>
    <w:rsid w:val="07BF7F3B"/>
    <w:rsid w:val="08196140"/>
    <w:rsid w:val="08442D54"/>
    <w:rsid w:val="08C950CB"/>
    <w:rsid w:val="08C9759E"/>
    <w:rsid w:val="09022D4C"/>
    <w:rsid w:val="09242A6D"/>
    <w:rsid w:val="093D091A"/>
    <w:rsid w:val="093D5D11"/>
    <w:rsid w:val="096503DA"/>
    <w:rsid w:val="09945089"/>
    <w:rsid w:val="09CE4628"/>
    <w:rsid w:val="09DA0AEA"/>
    <w:rsid w:val="09E66FF6"/>
    <w:rsid w:val="0A1A68E8"/>
    <w:rsid w:val="0A49684F"/>
    <w:rsid w:val="0A52533E"/>
    <w:rsid w:val="0AF87C7F"/>
    <w:rsid w:val="0B010302"/>
    <w:rsid w:val="0B311C8A"/>
    <w:rsid w:val="0B730FE2"/>
    <w:rsid w:val="0BAE0BA4"/>
    <w:rsid w:val="0C0C49B8"/>
    <w:rsid w:val="0C3F35A7"/>
    <w:rsid w:val="0C587ED4"/>
    <w:rsid w:val="0CAF7F11"/>
    <w:rsid w:val="0CFA7255"/>
    <w:rsid w:val="0CFE763E"/>
    <w:rsid w:val="0D173D2A"/>
    <w:rsid w:val="0DA953A3"/>
    <w:rsid w:val="0E016F27"/>
    <w:rsid w:val="0E35380A"/>
    <w:rsid w:val="0E472075"/>
    <w:rsid w:val="0E542926"/>
    <w:rsid w:val="0E8411AE"/>
    <w:rsid w:val="0E94271F"/>
    <w:rsid w:val="0E975E7F"/>
    <w:rsid w:val="0ED03F86"/>
    <w:rsid w:val="0F4D2C40"/>
    <w:rsid w:val="0F6A454B"/>
    <w:rsid w:val="0F830E04"/>
    <w:rsid w:val="0F9F1B85"/>
    <w:rsid w:val="0FDA4382"/>
    <w:rsid w:val="0FE852C2"/>
    <w:rsid w:val="10A71C51"/>
    <w:rsid w:val="112435DD"/>
    <w:rsid w:val="113003E6"/>
    <w:rsid w:val="1153036B"/>
    <w:rsid w:val="117B5305"/>
    <w:rsid w:val="11E243D1"/>
    <w:rsid w:val="11FC69F3"/>
    <w:rsid w:val="12095649"/>
    <w:rsid w:val="12870446"/>
    <w:rsid w:val="12D05C34"/>
    <w:rsid w:val="13247A98"/>
    <w:rsid w:val="133C6ADE"/>
    <w:rsid w:val="137D7320"/>
    <w:rsid w:val="13BD1997"/>
    <w:rsid w:val="13E66E34"/>
    <w:rsid w:val="13E828A1"/>
    <w:rsid w:val="14251580"/>
    <w:rsid w:val="14305FCB"/>
    <w:rsid w:val="144066A3"/>
    <w:rsid w:val="14820E77"/>
    <w:rsid w:val="14844D0E"/>
    <w:rsid w:val="14F91847"/>
    <w:rsid w:val="153B44C2"/>
    <w:rsid w:val="153E2182"/>
    <w:rsid w:val="15575DDB"/>
    <w:rsid w:val="159064B1"/>
    <w:rsid w:val="15940342"/>
    <w:rsid w:val="15944592"/>
    <w:rsid w:val="162A27FA"/>
    <w:rsid w:val="163D5037"/>
    <w:rsid w:val="16627715"/>
    <w:rsid w:val="17424DBA"/>
    <w:rsid w:val="17D42347"/>
    <w:rsid w:val="17D65432"/>
    <w:rsid w:val="17DA28CD"/>
    <w:rsid w:val="181027C6"/>
    <w:rsid w:val="18660684"/>
    <w:rsid w:val="18761EA7"/>
    <w:rsid w:val="18BE06CA"/>
    <w:rsid w:val="19551B6A"/>
    <w:rsid w:val="199065BA"/>
    <w:rsid w:val="19CA3ABC"/>
    <w:rsid w:val="1AE4594A"/>
    <w:rsid w:val="1B554BBA"/>
    <w:rsid w:val="1B5570A1"/>
    <w:rsid w:val="1B6A74E1"/>
    <w:rsid w:val="1B756950"/>
    <w:rsid w:val="1B771AA0"/>
    <w:rsid w:val="1BAB4925"/>
    <w:rsid w:val="1BB547BB"/>
    <w:rsid w:val="1BCE6F03"/>
    <w:rsid w:val="1BDD07B7"/>
    <w:rsid w:val="1C2465B1"/>
    <w:rsid w:val="1C426F90"/>
    <w:rsid w:val="1C427F64"/>
    <w:rsid w:val="1CAD420A"/>
    <w:rsid w:val="1CE3176F"/>
    <w:rsid w:val="1DB1326B"/>
    <w:rsid w:val="1DC34D5F"/>
    <w:rsid w:val="1DF62329"/>
    <w:rsid w:val="1E062B64"/>
    <w:rsid w:val="1E355B24"/>
    <w:rsid w:val="1E380C95"/>
    <w:rsid w:val="1E833A5B"/>
    <w:rsid w:val="1EED5C5E"/>
    <w:rsid w:val="1FE34D27"/>
    <w:rsid w:val="201038DE"/>
    <w:rsid w:val="20697F0D"/>
    <w:rsid w:val="20C22BF8"/>
    <w:rsid w:val="21B00645"/>
    <w:rsid w:val="226010E6"/>
    <w:rsid w:val="230C165B"/>
    <w:rsid w:val="231207A1"/>
    <w:rsid w:val="231353AB"/>
    <w:rsid w:val="231A115B"/>
    <w:rsid w:val="2349437F"/>
    <w:rsid w:val="23D74278"/>
    <w:rsid w:val="23FA0B05"/>
    <w:rsid w:val="24470D45"/>
    <w:rsid w:val="245A2F6F"/>
    <w:rsid w:val="246F2DE9"/>
    <w:rsid w:val="24DC01A6"/>
    <w:rsid w:val="24EE3A63"/>
    <w:rsid w:val="259E19E6"/>
    <w:rsid w:val="25BA22DF"/>
    <w:rsid w:val="2611326F"/>
    <w:rsid w:val="26A26F6A"/>
    <w:rsid w:val="26B10FD5"/>
    <w:rsid w:val="26EC6506"/>
    <w:rsid w:val="273214CB"/>
    <w:rsid w:val="276E6F5F"/>
    <w:rsid w:val="27976BC6"/>
    <w:rsid w:val="27D860B2"/>
    <w:rsid w:val="28015FA1"/>
    <w:rsid w:val="281818EA"/>
    <w:rsid w:val="288D57D4"/>
    <w:rsid w:val="28A4712B"/>
    <w:rsid w:val="28E7496F"/>
    <w:rsid w:val="29272939"/>
    <w:rsid w:val="292D2AE0"/>
    <w:rsid w:val="29527261"/>
    <w:rsid w:val="29F95491"/>
    <w:rsid w:val="2A4C713C"/>
    <w:rsid w:val="2A5637C1"/>
    <w:rsid w:val="2AB83AD0"/>
    <w:rsid w:val="2B1846F2"/>
    <w:rsid w:val="2B4D6CC6"/>
    <w:rsid w:val="2B780C39"/>
    <w:rsid w:val="2BC26688"/>
    <w:rsid w:val="2C6E34F0"/>
    <w:rsid w:val="2C81600C"/>
    <w:rsid w:val="2CB5470E"/>
    <w:rsid w:val="2DC53952"/>
    <w:rsid w:val="2DF9093B"/>
    <w:rsid w:val="2E3B1CAD"/>
    <w:rsid w:val="2E46012F"/>
    <w:rsid w:val="2EB1312F"/>
    <w:rsid w:val="2EC27906"/>
    <w:rsid w:val="2F642355"/>
    <w:rsid w:val="2F660608"/>
    <w:rsid w:val="2F7668DB"/>
    <w:rsid w:val="2F7C7880"/>
    <w:rsid w:val="30231544"/>
    <w:rsid w:val="30235AD9"/>
    <w:rsid w:val="305C0064"/>
    <w:rsid w:val="308733A3"/>
    <w:rsid w:val="309055A7"/>
    <w:rsid w:val="30F420D1"/>
    <w:rsid w:val="315F21F7"/>
    <w:rsid w:val="316261AE"/>
    <w:rsid w:val="319E1C07"/>
    <w:rsid w:val="31A0393F"/>
    <w:rsid w:val="31B006B0"/>
    <w:rsid w:val="31C65E3B"/>
    <w:rsid w:val="31E229D9"/>
    <w:rsid w:val="32762F1E"/>
    <w:rsid w:val="32B96701"/>
    <w:rsid w:val="32C8210A"/>
    <w:rsid w:val="32FE008A"/>
    <w:rsid w:val="32FF19E3"/>
    <w:rsid w:val="33423E91"/>
    <w:rsid w:val="33850CD2"/>
    <w:rsid w:val="33AF1AD9"/>
    <w:rsid w:val="340B1800"/>
    <w:rsid w:val="343806C3"/>
    <w:rsid w:val="345133DF"/>
    <w:rsid w:val="3475468B"/>
    <w:rsid w:val="349806DF"/>
    <w:rsid w:val="34B24141"/>
    <w:rsid w:val="34F77A95"/>
    <w:rsid w:val="352D07FE"/>
    <w:rsid w:val="35542D80"/>
    <w:rsid w:val="355D4C76"/>
    <w:rsid w:val="3575362D"/>
    <w:rsid w:val="35B373EF"/>
    <w:rsid w:val="35EE00C4"/>
    <w:rsid w:val="3600150B"/>
    <w:rsid w:val="36401059"/>
    <w:rsid w:val="364C5CA0"/>
    <w:rsid w:val="36812135"/>
    <w:rsid w:val="36D0357C"/>
    <w:rsid w:val="376B48E1"/>
    <w:rsid w:val="37894883"/>
    <w:rsid w:val="378D5769"/>
    <w:rsid w:val="37D44D71"/>
    <w:rsid w:val="37ED1994"/>
    <w:rsid w:val="38665A19"/>
    <w:rsid w:val="388B4B00"/>
    <w:rsid w:val="38E62F20"/>
    <w:rsid w:val="3986698B"/>
    <w:rsid w:val="398F7882"/>
    <w:rsid w:val="399901B0"/>
    <w:rsid w:val="39BD6789"/>
    <w:rsid w:val="39D009C6"/>
    <w:rsid w:val="39DB04A8"/>
    <w:rsid w:val="39E2392C"/>
    <w:rsid w:val="3A122C66"/>
    <w:rsid w:val="3A1337B2"/>
    <w:rsid w:val="3A323FD6"/>
    <w:rsid w:val="3A6D1CF8"/>
    <w:rsid w:val="3A846B6B"/>
    <w:rsid w:val="3B761828"/>
    <w:rsid w:val="3C0F6503"/>
    <w:rsid w:val="3C1F65A6"/>
    <w:rsid w:val="3C256AF9"/>
    <w:rsid w:val="3C3575CF"/>
    <w:rsid w:val="3C76269D"/>
    <w:rsid w:val="3C972BB1"/>
    <w:rsid w:val="3CF171B4"/>
    <w:rsid w:val="3D166BFB"/>
    <w:rsid w:val="3D326F6B"/>
    <w:rsid w:val="3D4B6A67"/>
    <w:rsid w:val="3DA003A4"/>
    <w:rsid w:val="3E1866D9"/>
    <w:rsid w:val="3E8D1066"/>
    <w:rsid w:val="3EB57B66"/>
    <w:rsid w:val="3F982DC5"/>
    <w:rsid w:val="3FA02262"/>
    <w:rsid w:val="404E6291"/>
    <w:rsid w:val="40550443"/>
    <w:rsid w:val="40AF6F93"/>
    <w:rsid w:val="40DB2101"/>
    <w:rsid w:val="414E194D"/>
    <w:rsid w:val="41550032"/>
    <w:rsid w:val="416A0A67"/>
    <w:rsid w:val="416A688E"/>
    <w:rsid w:val="420C24EC"/>
    <w:rsid w:val="428C1BEE"/>
    <w:rsid w:val="42BC56A4"/>
    <w:rsid w:val="437B5796"/>
    <w:rsid w:val="43AD771C"/>
    <w:rsid w:val="43E73EDC"/>
    <w:rsid w:val="43F04482"/>
    <w:rsid w:val="443C6348"/>
    <w:rsid w:val="44834762"/>
    <w:rsid w:val="44EE1847"/>
    <w:rsid w:val="44FE03BB"/>
    <w:rsid w:val="454605CD"/>
    <w:rsid w:val="45B53DEF"/>
    <w:rsid w:val="45C260D6"/>
    <w:rsid w:val="46046289"/>
    <w:rsid w:val="46627812"/>
    <w:rsid w:val="467C3D68"/>
    <w:rsid w:val="468D2DA1"/>
    <w:rsid w:val="46902DA7"/>
    <w:rsid w:val="469410F0"/>
    <w:rsid w:val="4731683B"/>
    <w:rsid w:val="474246F0"/>
    <w:rsid w:val="47926077"/>
    <w:rsid w:val="47D13F0B"/>
    <w:rsid w:val="480F7A93"/>
    <w:rsid w:val="4832028F"/>
    <w:rsid w:val="483E46B9"/>
    <w:rsid w:val="48521B1B"/>
    <w:rsid w:val="486626EF"/>
    <w:rsid w:val="488A3293"/>
    <w:rsid w:val="488C5A32"/>
    <w:rsid w:val="489B498A"/>
    <w:rsid w:val="48A91307"/>
    <w:rsid w:val="48AC260C"/>
    <w:rsid w:val="498A2E38"/>
    <w:rsid w:val="49A146AD"/>
    <w:rsid w:val="49E4000D"/>
    <w:rsid w:val="4A847A2A"/>
    <w:rsid w:val="4AB94C62"/>
    <w:rsid w:val="4AC01BAB"/>
    <w:rsid w:val="4B416BE3"/>
    <w:rsid w:val="4B507F61"/>
    <w:rsid w:val="4BA72171"/>
    <w:rsid w:val="4C666F27"/>
    <w:rsid w:val="4C6D195A"/>
    <w:rsid w:val="4CEA6622"/>
    <w:rsid w:val="4E1E7A6D"/>
    <w:rsid w:val="4E8A3CBA"/>
    <w:rsid w:val="4EE15A85"/>
    <w:rsid w:val="4F16531E"/>
    <w:rsid w:val="4F7D4E5B"/>
    <w:rsid w:val="4F864AB9"/>
    <w:rsid w:val="4FAA1CFB"/>
    <w:rsid w:val="4FD750A7"/>
    <w:rsid w:val="4FE411D6"/>
    <w:rsid w:val="502401E9"/>
    <w:rsid w:val="50BB09CC"/>
    <w:rsid w:val="516D22E6"/>
    <w:rsid w:val="517626DF"/>
    <w:rsid w:val="519C0B0F"/>
    <w:rsid w:val="528B3152"/>
    <w:rsid w:val="535C205A"/>
    <w:rsid w:val="546A0981"/>
    <w:rsid w:val="5472496D"/>
    <w:rsid w:val="54762773"/>
    <w:rsid w:val="55352419"/>
    <w:rsid w:val="554C6210"/>
    <w:rsid w:val="557F5BCC"/>
    <w:rsid w:val="56195C62"/>
    <w:rsid w:val="56584533"/>
    <w:rsid w:val="56CE470E"/>
    <w:rsid w:val="571332F1"/>
    <w:rsid w:val="577944E9"/>
    <w:rsid w:val="578A70B2"/>
    <w:rsid w:val="57AB5A7A"/>
    <w:rsid w:val="57D703B7"/>
    <w:rsid w:val="583A7D31"/>
    <w:rsid w:val="585F2281"/>
    <w:rsid w:val="58894D95"/>
    <w:rsid w:val="58977563"/>
    <w:rsid w:val="58B048B9"/>
    <w:rsid w:val="58B91E16"/>
    <w:rsid w:val="59256757"/>
    <w:rsid w:val="593375EA"/>
    <w:rsid w:val="59742667"/>
    <w:rsid w:val="597B16A7"/>
    <w:rsid w:val="59883324"/>
    <w:rsid w:val="5A7378E0"/>
    <w:rsid w:val="5A7C58D6"/>
    <w:rsid w:val="5A8309EF"/>
    <w:rsid w:val="5A944543"/>
    <w:rsid w:val="5A961524"/>
    <w:rsid w:val="5AD50881"/>
    <w:rsid w:val="5B1F3809"/>
    <w:rsid w:val="5B7A0735"/>
    <w:rsid w:val="5BC125EE"/>
    <w:rsid w:val="5C047E99"/>
    <w:rsid w:val="5C5932FA"/>
    <w:rsid w:val="5C5E239E"/>
    <w:rsid w:val="5C6F38B0"/>
    <w:rsid w:val="5C7348A9"/>
    <w:rsid w:val="5CE178E0"/>
    <w:rsid w:val="5D1037D6"/>
    <w:rsid w:val="5D346748"/>
    <w:rsid w:val="5D5119D0"/>
    <w:rsid w:val="5D670D19"/>
    <w:rsid w:val="5D8500C3"/>
    <w:rsid w:val="5DC54399"/>
    <w:rsid w:val="5DDD676C"/>
    <w:rsid w:val="5DF50356"/>
    <w:rsid w:val="5F025F2B"/>
    <w:rsid w:val="5F125787"/>
    <w:rsid w:val="5F1439AC"/>
    <w:rsid w:val="5F323CB1"/>
    <w:rsid w:val="5FCB6138"/>
    <w:rsid w:val="5FEE4EF0"/>
    <w:rsid w:val="5FF936BA"/>
    <w:rsid w:val="601839BF"/>
    <w:rsid w:val="603F30B2"/>
    <w:rsid w:val="604F0A08"/>
    <w:rsid w:val="60772EA1"/>
    <w:rsid w:val="60BF303A"/>
    <w:rsid w:val="61272664"/>
    <w:rsid w:val="613C33B0"/>
    <w:rsid w:val="6151694F"/>
    <w:rsid w:val="619B3B93"/>
    <w:rsid w:val="620F04F4"/>
    <w:rsid w:val="625243C2"/>
    <w:rsid w:val="62D63E36"/>
    <w:rsid w:val="63020E57"/>
    <w:rsid w:val="631B02C3"/>
    <w:rsid w:val="634A513A"/>
    <w:rsid w:val="637328E3"/>
    <w:rsid w:val="63F405EF"/>
    <w:rsid w:val="64510A98"/>
    <w:rsid w:val="64A53D52"/>
    <w:rsid w:val="64C8063C"/>
    <w:rsid w:val="64E11084"/>
    <w:rsid w:val="65535F7C"/>
    <w:rsid w:val="65D55FEA"/>
    <w:rsid w:val="66056F47"/>
    <w:rsid w:val="661F4331"/>
    <w:rsid w:val="666D614D"/>
    <w:rsid w:val="66B10DB1"/>
    <w:rsid w:val="66DA6FCC"/>
    <w:rsid w:val="66DD37A5"/>
    <w:rsid w:val="66E21ED6"/>
    <w:rsid w:val="67AB18E7"/>
    <w:rsid w:val="67E22FA9"/>
    <w:rsid w:val="67FF6DDE"/>
    <w:rsid w:val="68413AAE"/>
    <w:rsid w:val="688C2C9A"/>
    <w:rsid w:val="68D65133"/>
    <w:rsid w:val="691335D6"/>
    <w:rsid w:val="697A0E87"/>
    <w:rsid w:val="69A67633"/>
    <w:rsid w:val="69DA5F11"/>
    <w:rsid w:val="6AA70096"/>
    <w:rsid w:val="6AEB5943"/>
    <w:rsid w:val="6B21672F"/>
    <w:rsid w:val="6BC258A9"/>
    <w:rsid w:val="6C6B584B"/>
    <w:rsid w:val="6C7D037B"/>
    <w:rsid w:val="6CF74F1F"/>
    <w:rsid w:val="6D0631E1"/>
    <w:rsid w:val="6D0A424A"/>
    <w:rsid w:val="6D4612A2"/>
    <w:rsid w:val="6D512855"/>
    <w:rsid w:val="6D561E1D"/>
    <w:rsid w:val="6DB565A6"/>
    <w:rsid w:val="6DC90769"/>
    <w:rsid w:val="6E1653F4"/>
    <w:rsid w:val="6E2319BA"/>
    <w:rsid w:val="6E430DD7"/>
    <w:rsid w:val="6E5565C2"/>
    <w:rsid w:val="6EA10576"/>
    <w:rsid w:val="6EA51D44"/>
    <w:rsid w:val="6EA53EDD"/>
    <w:rsid w:val="6EB7116E"/>
    <w:rsid w:val="6EE150D4"/>
    <w:rsid w:val="6F1B1FB0"/>
    <w:rsid w:val="6F7105C2"/>
    <w:rsid w:val="6F886179"/>
    <w:rsid w:val="6FFB44C5"/>
    <w:rsid w:val="708D2F3F"/>
    <w:rsid w:val="70962897"/>
    <w:rsid w:val="70AE17B7"/>
    <w:rsid w:val="70CA72A9"/>
    <w:rsid w:val="70CB7C00"/>
    <w:rsid w:val="70CE2C13"/>
    <w:rsid w:val="7103337B"/>
    <w:rsid w:val="722379AC"/>
    <w:rsid w:val="724437E2"/>
    <w:rsid w:val="72930BD0"/>
    <w:rsid w:val="72961E9A"/>
    <w:rsid w:val="72A175B1"/>
    <w:rsid w:val="72DC78A1"/>
    <w:rsid w:val="73160062"/>
    <w:rsid w:val="736C3213"/>
    <w:rsid w:val="73AF63A9"/>
    <w:rsid w:val="73C104FC"/>
    <w:rsid w:val="73D52F6E"/>
    <w:rsid w:val="73E07F7F"/>
    <w:rsid w:val="74064D74"/>
    <w:rsid w:val="740A7C2A"/>
    <w:rsid w:val="740C55B3"/>
    <w:rsid w:val="741B0095"/>
    <w:rsid w:val="74485E00"/>
    <w:rsid w:val="74645932"/>
    <w:rsid w:val="74894493"/>
    <w:rsid w:val="749222E1"/>
    <w:rsid w:val="74C90A60"/>
    <w:rsid w:val="74CA55B0"/>
    <w:rsid w:val="74EA4F0F"/>
    <w:rsid w:val="751C5D16"/>
    <w:rsid w:val="753045A8"/>
    <w:rsid w:val="757D7BEA"/>
    <w:rsid w:val="75C41942"/>
    <w:rsid w:val="76795058"/>
    <w:rsid w:val="76D14389"/>
    <w:rsid w:val="77283827"/>
    <w:rsid w:val="772C1179"/>
    <w:rsid w:val="773C5F41"/>
    <w:rsid w:val="7783365C"/>
    <w:rsid w:val="77BF38EF"/>
    <w:rsid w:val="77F55FDA"/>
    <w:rsid w:val="78AC0BE9"/>
    <w:rsid w:val="78D03CE1"/>
    <w:rsid w:val="78DE6A49"/>
    <w:rsid w:val="78F13144"/>
    <w:rsid w:val="790E164F"/>
    <w:rsid w:val="792C1A94"/>
    <w:rsid w:val="793A2915"/>
    <w:rsid w:val="79454A1C"/>
    <w:rsid w:val="798C6DF8"/>
    <w:rsid w:val="79F048F9"/>
    <w:rsid w:val="7A631618"/>
    <w:rsid w:val="7ACA3E9B"/>
    <w:rsid w:val="7ADA0AAC"/>
    <w:rsid w:val="7B5B56D5"/>
    <w:rsid w:val="7B6E7D06"/>
    <w:rsid w:val="7C09707F"/>
    <w:rsid w:val="7C1D4B88"/>
    <w:rsid w:val="7C4F68D4"/>
    <w:rsid w:val="7C646557"/>
    <w:rsid w:val="7C7F3FEF"/>
    <w:rsid w:val="7CBC1C3D"/>
    <w:rsid w:val="7CD725F1"/>
    <w:rsid w:val="7D1E6595"/>
    <w:rsid w:val="7D717D4B"/>
    <w:rsid w:val="7D750330"/>
    <w:rsid w:val="7DA31E72"/>
    <w:rsid w:val="7DE57887"/>
    <w:rsid w:val="7EAE68EC"/>
    <w:rsid w:val="7EB43D05"/>
    <w:rsid w:val="7ED20C7B"/>
    <w:rsid w:val="7F202CCF"/>
    <w:rsid w:val="7F43749F"/>
    <w:rsid w:val="7FE044DB"/>
    <w:rsid w:val="7FE53B26"/>
    <w:rsid w:val="7FE55DEE"/>
    <w:rsid w:val="7FFC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2021-03-24T09:28:00Z</dcterms:created>
  <dc:creator>admin</dc:creator>
  <cp:lastModifiedBy>lenovo</cp:lastModifiedBy>
  <cp:lastPrinted>2021-04-06T01:16:00Z</cp:lastPrinted>
  <dcterms:modified xsi:type="dcterms:W3CDTF">2021-05-07T02:58:21Z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C1B315FE9EF94367B2FDED42A94A2ABC</vt:lpwstr>
  </property>
</Properties>
</file>