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17E" w:rsidRDefault="00AB3E6F">
      <w:pPr>
        <w:jc w:val="left"/>
        <w:rPr>
          <w:rFonts w:ascii="方正黑体_GBK" w:eastAsia="方正黑体_GBK" w:hAnsi="方正黑体_GBK" w:cs="方正黑体_GBK"/>
          <w:color w:val="000000" w:themeColor="text1"/>
          <w:sz w:val="36"/>
          <w:szCs w:val="36"/>
          <w:shd w:val="clear" w:color="auto" w:fill="FFFFFF"/>
        </w:rPr>
      </w:pPr>
      <w:bookmarkStart w:id="0" w:name="_GoBack"/>
      <w:bookmarkEnd w:id="0"/>
      <w:r>
        <w:rPr>
          <w:rFonts w:ascii="方正黑体_GBK" w:eastAsia="方正黑体_GBK" w:hAnsi="方正黑体_GBK" w:cs="方正黑体_GBK" w:hint="eastAsia"/>
          <w:color w:val="000000" w:themeColor="text1"/>
          <w:sz w:val="36"/>
          <w:szCs w:val="36"/>
          <w:shd w:val="clear" w:color="auto" w:fill="FFFFFF"/>
        </w:rPr>
        <w:t>附件</w:t>
      </w:r>
      <w:r>
        <w:rPr>
          <w:rFonts w:ascii="方正黑体_GBK" w:eastAsia="方正黑体_GBK" w:hAnsi="方正黑体_GBK" w:cs="方正黑体_GBK" w:hint="eastAsia"/>
          <w:color w:val="000000" w:themeColor="text1"/>
          <w:sz w:val="36"/>
          <w:szCs w:val="36"/>
          <w:shd w:val="clear" w:color="auto" w:fill="FFFFFF"/>
        </w:rPr>
        <w:t>2</w:t>
      </w:r>
      <w:r>
        <w:rPr>
          <w:rFonts w:ascii="方正黑体_GBK" w:eastAsia="方正黑体_GBK" w:hAnsi="方正黑体_GBK" w:cs="方正黑体_GBK" w:hint="eastAsia"/>
          <w:color w:val="000000" w:themeColor="text1"/>
          <w:sz w:val="36"/>
          <w:szCs w:val="36"/>
          <w:shd w:val="clear" w:color="auto" w:fill="FFFFFF"/>
        </w:rPr>
        <w:t>：</w:t>
      </w:r>
    </w:p>
    <w:p w:rsidR="002E017E" w:rsidRDefault="00AB3E6F">
      <w:pPr>
        <w:pStyle w:val="3"/>
        <w:widowControl/>
        <w:spacing w:before="0" w:beforeAutospacing="0" w:after="0" w:afterAutospacing="0" w:line="675" w:lineRule="atLeast"/>
        <w:jc w:val="center"/>
        <w:rPr>
          <w:rFonts w:hint="default"/>
          <w:color w:val="000000" w:themeColor="text1"/>
          <w:sz w:val="36"/>
          <w:szCs w:val="36"/>
        </w:rPr>
      </w:pPr>
      <w:r>
        <w:rPr>
          <w:color w:val="000000" w:themeColor="text1"/>
          <w:sz w:val="36"/>
          <w:szCs w:val="36"/>
          <w:shd w:val="clear" w:color="auto" w:fill="FFFFFF"/>
        </w:rPr>
        <w:t>关于印发《山东省技术创新中心建设标准》的通知</w:t>
      </w:r>
    </w:p>
    <w:p w:rsidR="002E017E" w:rsidRDefault="00AB3E6F">
      <w:pPr>
        <w:widowControl/>
        <w:shd w:val="clear" w:color="auto" w:fill="FFFFFF"/>
        <w:jc w:val="left"/>
        <w:rPr>
          <w:rFonts w:ascii="sans-serif" w:eastAsia="sans-serif" w:hAnsi="sans-serif" w:cs="sans-serif"/>
          <w:color w:val="000000" w:themeColor="text1"/>
          <w:sz w:val="24"/>
          <w:szCs w:val="24"/>
        </w:rPr>
      </w:pPr>
      <w:hyperlink r:id="rId8" w:tooltip="分享到新浪微博" w:history="1"/>
      <w:hyperlink r:id="rId9" w:tooltip="分享到微信" w:history="1"/>
      <w:hyperlink r:id="rId10" w:tooltip="分享到QQ空间" w:history="1"/>
      <w:hyperlink r:id="rId11" w:tooltip="分享到豆瓣网" w:history="1"/>
    </w:p>
    <w:p w:rsidR="002E017E" w:rsidRDefault="00AB3E6F">
      <w:pPr>
        <w:ind w:firstLineChars="200" w:firstLine="640"/>
        <w:jc w:val="center"/>
        <w:rPr>
          <w:rFonts w:ascii="仿宋" w:eastAsia="仿宋" w:hAnsi="仿宋"/>
          <w:color w:val="000000" w:themeColor="text1"/>
          <w:sz w:val="32"/>
          <w:szCs w:val="32"/>
        </w:rPr>
      </w:pPr>
      <w:r>
        <w:rPr>
          <w:rFonts w:ascii="仿宋" w:eastAsia="仿宋" w:hAnsi="仿宋"/>
          <w:color w:val="000000" w:themeColor="text1"/>
          <w:sz w:val="32"/>
          <w:szCs w:val="32"/>
        </w:rPr>
        <w:t>鲁科办发〔</w:t>
      </w:r>
      <w:r>
        <w:rPr>
          <w:rFonts w:ascii="仿宋" w:eastAsia="仿宋" w:hAnsi="仿宋"/>
          <w:color w:val="000000" w:themeColor="text1"/>
          <w:sz w:val="32"/>
          <w:szCs w:val="32"/>
        </w:rPr>
        <w:t>2020</w:t>
      </w:r>
      <w:r>
        <w:rPr>
          <w:rFonts w:ascii="仿宋" w:eastAsia="仿宋" w:hAnsi="仿宋"/>
          <w:color w:val="000000" w:themeColor="text1"/>
          <w:sz w:val="32"/>
          <w:szCs w:val="32"/>
        </w:rPr>
        <w:t>〕</w:t>
      </w:r>
      <w:r>
        <w:rPr>
          <w:rFonts w:ascii="仿宋" w:eastAsia="仿宋" w:hAnsi="仿宋"/>
          <w:color w:val="000000" w:themeColor="text1"/>
          <w:sz w:val="32"/>
          <w:szCs w:val="32"/>
        </w:rPr>
        <w:t>34</w:t>
      </w:r>
      <w:r>
        <w:rPr>
          <w:rFonts w:ascii="仿宋" w:eastAsia="仿宋" w:hAnsi="仿宋"/>
          <w:color w:val="000000" w:themeColor="text1"/>
          <w:sz w:val="32"/>
          <w:szCs w:val="32"/>
        </w:rPr>
        <w:t>号</w:t>
      </w:r>
    </w:p>
    <w:p w:rsidR="002E017E" w:rsidRDefault="00AB3E6F">
      <w:pPr>
        <w:rPr>
          <w:rFonts w:ascii="仿宋" w:eastAsia="仿宋" w:hAnsi="仿宋"/>
          <w:color w:val="000000" w:themeColor="text1"/>
          <w:sz w:val="32"/>
          <w:szCs w:val="32"/>
        </w:rPr>
      </w:pPr>
      <w:r>
        <w:rPr>
          <w:rFonts w:ascii="仿宋" w:eastAsia="仿宋" w:hAnsi="仿宋"/>
          <w:color w:val="000000" w:themeColor="text1"/>
          <w:sz w:val="32"/>
          <w:szCs w:val="32"/>
        </w:rPr>
        <w:t>各市科技局，省直有关部门，各有关单位：</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现将《</w:t>
      </w:r>
      <w:r>
        <w:rPr>
          <w:rFonts w:ascii="仿宋" w:eastAsia="仿宋" w:hAnsi="仿宋"/>
          <w:color w:val="000000" w:themeColor="text1"/>
          <w:sz w:val="32"/>
          <w:szCs w:val="32"/>
        </w:rPr>
        <w:t>山东省技术创新中心建设标准》印发给你们，请认真贯彻落实。</w:t>
      </w:r>
    </w:p>
    <w:p w:rsidR="002E017E" w:rsidRDefault="00AB3E6F">
      <w:pPr>
        <w:ind w:firstLineChars="200" w:firstLine="640"/>
        <w:jc w:val="right"/>
        <w:rPr>
          <w:rFonts w:ascii="仿宋" w:eastAsia="仿宋" w:hAnsi="仿宋"/>
          <w:color w:val="000000" w:themeColor="text1"/>
          <w:sz w:val="32"/>
          <w:szCs w:val="32"/>
        </w:rPr>
      </w:pPr>
      <w:r>
        <w:rPr>
          <w:rFonts w:ascii="仿宋" w:eastAsia="仿宋" w:hAnsi="仿宋"/>
          <w:color w:val="000000" w:themeColor="text1"/>
          <w:sz w:val="32"/>
          <w:szCs w:val="32"/>
        </w:rPr>
        <w:t>山东省科学技术厅办公室</w:t>
      </w:r>
    </w:p>
    <w:p w:rsidR="002E017E" w:rsidRDefault="00AB3E6F">
      <w:pPr>
        <w:ind w:firstLineChars="200" w:firstLine="640"/>
        <w:jc w:val="right"/>
        <w:rPr>
          <w:rFonts w:ascii="仿宋" w:eastAsia="仿宋" w:hAnsi="仿宋"/>
          <w:color w:val="000000" w:themeColor="text1"/>
          <w:sz w:val="32"/>
          <w:szCs w:val="32"/>
        </w:rPr>
      </w:pPr>
      <w:r>
        <w:rPr>
          <w:rFonts w:ascii="仿宋" w:eastAsia="仿宋" w:hAnsi="仿宋"/>
          <w:color w:val="000000" w:themeColor="text1"/>
          <w:sz w:val="32"/>
          <w:szCs w:val="32"/>
        </w:rPr>
        <w:t>2020</w:t>
      </w:r>
      <w:r>
        <w:rPr>
          <w:rFonts w:ascii="仿宋" w:eastAsia="仿宋" w:hAnsi="仿宋"/>
          <w:color w:val="000000" w:themeColor="text1"/>
          <w:sz w:val="32"/>
          <w:szCs w:val="32"/>
        </w:rPr>
        <w:t>年</w:t>
      </w:r>
      <w:r>
        <w:rPr>
          <w:rFonts w:ascii="仿宋" w:eastAsia="仿宋" w:hAnsi="仿宋"/>
          <w:color w:val="000000" w:themeColor="text1"/>
          <w:sz w:val="32"/>
          <w:szCs w:val="32"/>
        </w:rPr>
        <w:t>12</w:t>
      </w:r>
      <w:r>
        <w:rPr>
          <w:rFonts w:ascii="仿宋" w:eastAsia="仿宋" w:hAnsi="仿宋"/>
          <w:color w:val="000000" w:themeColor="text1"/>
          <w:sz w:val="32"/>
          <w:szCs w:val="32"/>
        </w:rPr>
        <w:t>月</w:t>
      </w:r>
      <w:r>
        <w:rPr>
          <w:rFonts w:ascii="仿宋" w:eastAsia="仿宋" w:hAnsi="仿宋"/>
          <w:color w:val="000000" w:themeColor="text1"/>
          <w:sz w:val="32"/>
          <w:szCs w:val="32"/>
        </w:rPr>
        <w:t>3</w:t>
      </w:r>
      <w:r>
        <w:rPr>
          <w:rFonts w:ascii="仿宋" w:eastAsia="仿宋" w:hAnsi="仿宋"/>
          <w:color w:val="000000" w:themeColor="text1"/>
          <w:sz w:val="32"/>
          <w:szCs w:val="32"/>
        </w:rPr>
        <w:t>日</w:t>
      </w:r>
    </w:p>
    <w:p w:rsidR="002E017E" w:rsidRDefault="00AB3E6F">
      <w:pPr>
        <w:jc w:val="right"/>
        <w:rPr>
          <w:rFonts w:ascii="仿宋" w:eastAsia="仿宋" w:hAnsi="仿宋"/>
          <w:color w:val="000000" w:themeColor="text1"/>
          <w:sz w:val="32"/>
          <w:szCs w:val="32"/>
        </w:rPr>
      </w:pPr>
      <w:r>
        <w:rPr>
          <w:rFonts w:ascii="仿宋" w:eastAsia="仿宋" w:hAnsi="仿宋"/>
          <w:color w:val="000000" w:themeColor="text1"/>
          <w:sz w:val="32"/>
          <w:szCs w:val="32"/>
        </w:rPr>
        <w:t>（此件公开发布）</w:t>
      </w:r>
    </w:p>
    <w:p w:rsidR="002E017E" w:rsidRDefault="00AB3E6F">
      <w:pPr>
        <w:pStyle w:val="a5"/>
        <w:spacing w:before="0" w:beforeAutospacing="0" w:after="302" w:afterAutospacing="0" w:line="368" w:lineRule="atLeast"/>
        <w:jc w:val="center"/>
        <w:rPr>
          <w:rFonts w:ascii="微软雅黑" w:eastAsia="微软雅黑" w:hAnsi="微软雅黑" w:cs="微软雅黑"/>
          <w:color w:val="000000" w:themeColor="text1"/>
        </w:rPr>
      </w:pPr>
      <w:r>
        <w:rPr>
          <w:rStyle w:val="a6"/>
          <w:rFonts w:ascii="微软雅黑" w:eastAsia="微软雅黑" w:hAnsi="微软雅黑" w:cs="微软雅黑"/>
          <w:color w:val="000000" w:themeColor="text1"/>
          <w:shd w:val="clear" w:color="auto" w:fill="FFFFFF"/>
        </w:rPr>
        <w:t>山东省技术创新中心建设标准</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为进一步加强和规范山东省技术创新中心建设，提高建设水平和创新能力，打造高层次技术创新高地，支撑引领产业高质量发展，制定本建设标准。</w:t>
      </w:r>
    </w:p>
    <w:p w:rsidR="002E017E" w:rsidRDefault="00AB3E6F">
      <w:pPr>
        <w:spacing w:line="460" w:lineRule="exact"/>
        <w:ind w:firstLineChars="200" w:firstLine="723"/>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一、标准依据</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《关于推进国家技术创新中心建设的总体方案（暂行）》（国科发区〔</w:t>
      </w:r>
      <w:r>
        <w:rPr>
          <w:rFonts w:ascii="仿宋" w:eastAsia="仿宋" w:hAnsi="仿宋"/>
          <w:color w:val="000000" w:themeColor="text1"/>
          <w:sz w:val="32"/>
          <w:szCs w:val="32"/>
        </w:rPr>
        <w:t>2020</w:t>
      </w:r>
      <w:r>
        <w:rPr>
          <w:rFonts w:ascii="仿宋" w:eastAsia="仿宋" w:hAnsi="仿宋"/>
          <w:color w:val="000000" w:themeColor="text1"/>
          <w:sz w:val="32"/>
          <w:szCs w:val="32"/>
        </w:rPr>
        <w:t>〕</w:t>
      </w:r>
      <w:r>
        <w:rPr>
          <w:rFonts w:ascii="仿宋" w:eastAsia="仿宋" w:hAnsi="仿宋"/>
          <w:color w:val="000000" w:themeColor="text1"/>
          <w:sz w:val="32"/>
          <w:szCs w:val="32"/>
        </w:rPr>
        <w:t>70</w:t>
      </w:r>
      <w:r>
        <w:rPr>
          <w:rFonts w:ascii="仿宋" w:eastAsia="仿宋" w:hAnsi="仿宋"/>
          <w:color w:val="000000" w:themeColor="text1"/>
          <w:sz w:val="32"/>
          <w:szCs w:val="32"/>
        </w:rPr>
        <w:t>号）《山东省技术创新中心管理办法》（鲁科字〔</w:t>
      </w:r>
      <w:r>
        <w:rPr>
          <w:rFonts w:ascii="仿宋" w:eastAsia="仿宋" w:hAnsi="仿宋"/>
          <w:color w:val="000000" w:themeColor="text1"/>
          <w:sz w:val="32"/>
          <w:szCs w:val="32"/>
        </w:rPr>
        <w:t>2017</w:t>
      </w:r>
      <w:r>
        <w:rPr>
          <w:rFonts w:ascii="仿宋" w:eastAsia="仿宋" w:hAnsi="仿宋"/>
          <w:color w:val="000000" w:themeColor="text1"/>
          <w:sz w:val="32"/>
          <w:szCs w:val="32"/>
        </w:rPr>
        <w:t>〕</w:t>
      </w:r>
      <w:r>
        <w:rPr>
          <w:rFonts w:ascii="仿宋" w:eastAsia="仿宋" w:hAnsi="仿宋"/>
          <w:color w:val="000000" w:themeColor="text1"/>
          <w:sz w:val="32"/>
          <w:szCs w:val="32"/>
        </w:rPr>
        <w:t>167</w:t>
      </w:r>
      <w:r>
        <w:rPr>
          <w:rFonts w:ascii="仿宋" w:eastAsia="仿宋" w:hAnsi="仿宋"/>
          <w:color w:val="000000" w:themeColor="text1"/>
          <w:sz w:val="32"/>
          <w:szCs w:val="32"/>
        </w:rPr>
        <w:t>号）和《山东省技术创新中心建设方案》（鲁科字〔</w:t>
      </w:r>
      <w:r>
        <w:rPr>
          <w:rFonts w:ascii="仿宋" w:eastAsia="仿宋" w:hAnsi="仿宋"/>
          <w:color w:val="000000" w:themeColor="text1"/>
          <w:sz w:val="32"/>
          <w:szCs w:val="32"/>
        </w:rPr>
        <w:t>2019</w:t>
      </w:r>
      <w:r>
        <w:rPr>
          <w:rFonts w:ascii="仿宋" w:eastAsia="仿宋" w:hAnsi="仿宋"/>
          <w:color w:val="000000" w:themeColor="text1"/>
          <w:sz w:val="32"/>
          <w:szCs w:val="32"/>
        </w:rPr>
        <w:t>〕</w:t>
      </w:r>
      <w:r>
        <w:rPr>
          <w:rFonts w:ascii="仿宋" w:eastAsia="仿宋" w:hAnsi="仿宋"/>
          <w:color w:val="000000" w:themeColor="text1"/>
          <w:sz w:val="32"/>
          <w:szCs w:val="32"/>
        </w:rPr>
        <w:t>93</w:t>
      </w:r>
      <w:r>
        <w:rPr>
          <w:rFonts w:ascii="仿宋" w:eastAsia="仿宋" w:hAnsi="仿宋"/>
          <w:color w:val="000000" w:themeColor="text1"/>
          <w:sz w:val="32"/>
          <w:szCs w:val="32"/>
        </w:rPr>
        <w:t>号）等政策文件和有关国家技术创新中心建设方案。</w:t>
      </w:r>
    </w:p>
    <w:p w:rsidR="002E017E" w:rsidRDefault="00AB3E6F">
      <w:pPr>
        <w:spacing w:line="460" w:lineRule="exact"/>
        <w:ind w:firstLineChars="200" w:firstLine="723"/>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二、功能定位</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省技术创新中心是我省技术创新体系的重要组成部分，是促进产学研协同创新，推动重大基础研究成果产业化，引领产业高质量发展的重要创新载体。省技术创新中心定位于创新链中游，对上衔接实验室基础研究，对下衔接企业产业化，推动关键核心技术研发和科技成果转移转化，打通从</w:t>
      </w:r>
      <w:r>
        <w:rPr>
          <w:rFonts w:ascii="仿宋" w:eastAsia="仿宋" w:hAnsi="仿宋"/>
          <w:color w:val="000000" w:themeColor="text1"/>
          <w:sz w:val="32"/>
          <w:szCs w:val="32"/>
        </w:rPr>
        <w:t>科学到技术转化的通道。主要任务是组织开展产业重大关键共性技术和前沿技术研发，着力解决关键核心技术、重大装备及关键零部件受制于人的问题，产学研协同推动科技成果转移转化与产业化，为科技型中小企业孵化、培育和发展提供创新服务，为区域和产业发展提供持续的源头技术供给，为支撑产业向中高端迈进、实现高质量发展发挥战略引领作用。</w:t>
      </w:r>
    </w:p>
    <w:p w:rsidR="002E017E" w:rsidRDefault="00AB3E6F">
      <w:pPr>
        <w:spacing w:line="460" w:lineRule="exact"/>
        <w:ind w:firstLineChars="200" w:firstLine="723"/>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三、核心任务</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省技术创新中心以行业共性关键技术研发与应用为核心，负有攻克</w:t>
      </w:r>
      <w:r>
        <w:rPr>
          <w:rFonts w:ascii="仿宋" w:eastAsia="仿宋" w:hAnsi="仿宋"/>
          <w:color w:val="000000" w:themeColor="text1"/>
          <w:sz w:val="32"/>
          <w:szCs w:val="32"/>
        </w:rPr>
        <w:t>“</w:t>
      </w:r>
      <w:r>
        <w:rPr>
          <w:rFonts w:ascii="仿宋" w:eastAsia="仿宋" w:hAnsi="仿宋"/>
          <w:color w:val="000000" w:themeColor="text1"/>
          <w:sz w:val="32"/>
          <w:szCs w:val="32"/>
        </w:rPr>
        <w:t>卡脖子</w:t>
      </w:r>
      <w:r>
        <w:rPr>
          <w:rFonts w:ascii="仿宋" w:eastAsia="仿宋" w:hAnsi="仿宋"/>
          <w:color w:val="000000" w:themeColor="text1"/>
          <w:sz w:val="32"/>
          <w:szCs w:val="32"/>
        </w:rPr>
        <w:t>”</w:t>
      </w:r>
      <w:r>
        <w:rPr>
          <w:rFonts w:ascii="仿宋" w:eastAsia="仿宋" w:hAnsi="仿宋"/>
          <w:color w:val="000000" w:themeColor="text1"/>
          <w:sz w:val="32"/>
          <w:szCs w:val="32"/>
        </w:rPr>
        <w:t>技术的使命，服务产业发展战略需求，推动重大科技成果转化，加快突破共性关键技术，建设完善科研条件平台与研发体系建设</w:t>
      </w:r>
      <w:r>
        <w:rPr>
          <w:rFonts w:ascii="仿宋" w:eastAsia="仿宋" w:hAnsi="仿宋"/>
          <w:color w:val="000000" w:themeColor="text1"/>
          <w:sz w:val="32"/>
          <w:szCs w:val="32"/>
        </w:rPr>
        <w:t>和成果转化体系。</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（一）加快产业关键共性技术突破</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指标内容：</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聚焦产业需求，开展共性关键技术研究、技术应用开发研究及前沿技术研究；</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突破制约行业发展的技术瓶颈，掌握引领产业未来发</w:t>
      </w:r>
      <w:r>
        <w:rPr>
          <w:rFonts w:ascii="仿宋" w:eastAsia="仿宋" w:hAnsi="仿宋"/>
          <w:color w:val="000000" w:themeColor="text1"/>
          <w:sz w:val="32"/>
          <w:szCs w:val="32"/>
        </w:rPr>
        <w:lastRenderedPageBreak/>
        <w:t>展的核心技术，提升产业技术水平。</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指标要求：筹建期内承担省级以上重大科研任务</w:t>
      </w:r>
      <w:r>
        <w:rPr>
          <w:rFonts w:ascii="仿宋" w:eastAsia="仿宋" w:hAnsi="仿宋"/>
          <w:color w:val="000000" w:themeColor="text1"/>
          <w:sz w:val="32"/>
          <w:szCs w:val="32"/>
        </w:rPr>
        <w:t>5</w:t>
      </w:r>
      <w:r>
        <w:rPr>
          <w:rFonts w:ascii="仿宋" w:eastAsia="仿宋" w:hAnsi="仿宋"/>
          <w:color w:val="000000" w:themeColor="text1"/>
          <w:sz w:val="32"/>
          <w:szCs w:val="32"/>
        </w:rPr>
        <w:t>项以上，解决</w:t>
      </w:r>
      <w:r>
        <w:rPr>
          <w:rFonts w:ascii="仿宋" w:eastAsia="仿宋" w:hAnsi="仿宋"/>
          <w:color w:val="000000" w:themeColor="text1"/>
          <w:sz w:val="32"/>
          <w:szCs w:val="32"/>
        </w:rPr>
        <w:t>2-3</w:t>
      </w:r>
      <w:r>
        <w:rPr>
          <w:rFonts w:ascii="仿宋" w:eastAsia="仿宋" w:hAnsi="仿宋"/>
          <w:color w:val="000000" w:themeColor="text1"/>
          <w:sz w:val="32"/>
          <w:szCs w:val="32"/>
        </w:rPr>
        <w:t>个重大技术难题或</w:t>
      </w:r>
      <w:r>
        <w:rPr>
          <w:rFonts w:ascii="仿宋" w:eastAsia="仿宋" w:hAnsi="仿宋"/>
          <w:color w:val="000000" w:themeColor="text1"/>
          <w:sz w:val="32"/>
          <w:szCs w:val="32"/>
        </w:rPr>
        <w:t>“</w:t>
      </w:r>
      <w:r>
        <w:rPr>
          <w:rFonts w:ascii="仿宋" w:eastAsia="仿宋" w:hAnsi="仿宋"/>
          <w:color w:val="000000" w:themeColor="text1"/>
          <w:sz w:val="32"/>
          <w:szCs w:val="32"/>
        </w:rPr>
        <w:t>卡脖子</w:t>
      </w:r>
      <w:r>
        <w:rPr>
          <w:rFonts w:ascii="仿宋" w:eastAsia="仿宋" w:hAnsi="仿宋"/>
          <w:color w:val="000000" w:themeColor="text1"/>
          <w:sz w:val="32"/>
          <w:szCs w:val="32"/>
        </w:rPr>
        <w:t>”</w:t>
      </w:r>
      <w:r>
        <w:rPr>
          <w:rFonts w:ascii="仿宋" w:eastAsia="仿宋" w:hAnsi="仿宋"/>
          <w:color w:val="000000" w:themeColor="text1"/>
          <w:sz w:val="32"/>
          <w:szCs w:val="32"/>
        </w:rPr>
        <w:t>技术难题，形成</w:t>
      </w:r>
      <w:r>
        <w:rPr>
          <w:rFonts w:ascii="仿宋" w:eastAsia="仿宋" w:hAnsi="仿宋"/>
          <w:color w:val="000000" w:themeColor="text1"/>
          <w:sz w:val="32"/>
          <w:szCs w:val="32"/>
        </w:rPr>
        <w:t>5</w:t>
      </w:r>
      <w:r>
        <w:rPr>
          <w:rFonts w:ascii="仿宋" w:eastAsia="仿宋" w:hAnsi="仿宋"/>
          <w:color w:val="000000" w:themeColor="text1"/>
          <w:sz w:val="32"/>
          <w:szCs w:val="32"/>
        </w:rPr>
        <w:t>项以上重大科研成果。</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（二）建设科研成果转化体系</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指标内容：</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建立完善高效的科技服务和成果转化机制，整合上下游科技资源，畅通成果转化通道；</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开展成果转化、产业孵化，推动重大成果的工程化、产业化落地，打破科研成果产业化瓶颈。</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指标要求：筹建期内实现行业内高端技术和人才团队集聚，累计引进高端人才</w:t>
      </w:r>
      <w:r>
        <w:rPr>
          <w:rFonts w:ascii="仿宋" w:eastAsia="仿宋" w:hAnsi="仿宋"/>
          <w:color w:val="000000" w:themeColor="text1"/>
          <w:sz w:val="32"/>
          <w:szCs w:val="32"/>
        </w:rPr>
        <w:t>30</w:t>
      </w:r>
      <w:r>
        <w:rPr>
          <w:rFonts w:ascii="仿宋" w:eastAsia="仿宋" w:hAnsi="仿宋"/>
          <w:color w:val="000000" w:themeColor="text1"/>
          <w:sz w:val="32"/>
          <w:szCs w:val="32"/>
        </w:rPr>
        <w:t>名以上，转移转化重大科研成果</w:t>
      </w:r>
      <w:r>
        <w:rPr>
          <w:rFonts w:ascii="仿宋" w:eastAsia="仿宋" w:hAnsi="仿宋"/>
          <w:color w:val="000000" w:themeColor="text1"/>
          <w:sz w:val="32"/>
          <w:szCs w:val="32"/>
        </w:rPr>
        <w:t>5</w:t>
      </w:r>
      <w:r>
        <w:rPr>
          <w:rFonts w:ascii="仿宋" w:eastAsia="仿宋" w:hAnsi="仿宋"/>
          <w:color w:val="000000" w:themeColor="text1"/>
          <w:sz w:val="32"/>
          <w:szCs w:val="32"/>
        </w:rPr>
        <w:t>项以上。</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（三）建设科研条件平台与研发体系</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指标内容：</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整合领域内基础研究、技术研发等创新平台资源，建设集科研和服务于一体的行业公共技术创新平台体系；</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建设高水平公共科技创新平台和科技服务平台，支撑行业共性关键技术、技术应用开发及前沿技术突破和成果转移转化；</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color w:val="000000" w:themeColor="text1"/>
          <w:sz w:val="32"/>
          <w:szCs w:val="32"/>
        </w:rPr>
        <w:t>面向行业开放共享，提供专业化研发服务，激发行业创新</w:t>
      </w:r>
      <w:r>
        <w:rPr>
          <w:rFonts w:ascii="仿宋" w:eastAsia="仿宋" w:hAnsi="仿宋"/>
          <w:color w:val="000000" w:themeColor="text1"/>
          <w:sz w:val="32"/>
          <w:szCs w:val="32"/>
        </w:rPr>
        <w:t>创业活力。</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指标要求：筹建期内整合省级以上应用基础研究、技术研发等高层次平台</w:t>
      </w:r>
      <w:r>
        <w:rPr>
          <w:rFonts w:ascii="仿宋" w:eastAsia="仿宋" w:hAnsi="仿宋"/>
          <w:color w:val="000000" w:themeColor="text1"/>
          <w:sz w:val="32"/>
          <w:szCs w:val="32"/>
        </w:rPr>
        <w:t>3</w:t>
      </w:r>
      <w:r>
        <w:rPr>
          <w:rFonts w:ascii="仿宋" w:eastAsia="仿宋" w:hAnsi="仿宋"/>
          <w:color w:val="000000" w:themeColor="text1"/>
          <w:sz w:val="32"/>
          <w:szCs w:val="32"/>
        </w:rPr>
        <w:t>个以上，建设各</w:t>
      </w:r>
      <w:proofErr w:type="gramStart"/>
      <w:r>
        <w:rPr>
          <w:rFonts w:ascii="仿宋" w:eastAsia="仿宋" w:hAnsi="仿宋"/>
          <w:color w:val="000000" w:themeColor="text1"/>
          <w:sz w:val="32"/>
          <w:szCs w:val="32"/>
        </w:rPr>
        <w:t>类创新</w:t>
      </w:r>
      <w:proofErr w:type="gramEnd"/>
      <w:r>
        <w:rPr>
          <w:rFonts w:ascii="仿宋" w:eastAsia="仿宋" w:hAnsi="仿宋"/>
          <w:color w:val="000000" w:themeColor="text1"/>
          <w:sz w:val="32"/>
          <w:szCs w:val="32"/>
        </w:rPr>
        <w:t>平台、科技服务平台</w:t>
      </w:r>
      <w:r>
        <w:rPr>
          <w:rFonts w:ascii="仿宋" w:eastAsia="仿宋" w:hAnsi="仿宋"/>
          <w:color w:val="000000" w:themeColor="text1"/>
          <w:sz w:val="32"/>
          <w:szCs w:val="32"/>
        </w:rPr>
        <w:t>5</w:t>
      </w:r>
      <w:r>
        <w:rPr>
          <w:rFonts w:ascii="仿宋" w:eastAsia="仿宋" w:hAnsi="仿宋"/>
          <w:color w:val="000000" w:themeColor="text1"/>
          <w:sz w:val="32"/>
          <w:szCs w:val="32"/>
        </w:rPr>
        <w:t>个以上，形成公共技术创新平台体系，累计为行业提供研发服务</w:t>
      </w:r>
      <w:r>
        <w:rPr>
          <w:rFonts w:ascii="仿宋" w:eastAsia="仿宋" w:hAnsi="仿宋"/>
          <w:color w:val="000000" w:themeColor="text1"/>
          <w:sz w:val="32"/>
          <w:szCs w:val="32"/>
        </w:rPr>
        <w:t>100</w:t>
      </w:r>
      <w:r>
        <w:rPr>
          <w:rFonts w:ascii="仿宋" w:eastAsia="仿宋" w:hAnsi="仿宋"/>
          <w:color w:val="000000" w:themeColor="text1"/>
          <w:sz w:val="32"/>
          <w:szCs w:val="32"/>
        </w:rPr>
        <w:t>次以上，服务高新技术企业不少于</w:t>
      </w:r>
      <w:r>
        <w:rPr>
          <w:rFonts w:ascii="仿宋" w:eastAsia="仿宋" w:hAnsi="仿宋"/>
          <w:color w:val="000000" w:themeColor="text1"/>
          <w:sz w:val="32"/>
          <w:szCs w:val="32"/>
        </w:rPr>
        <w:t>10</w:t>
      </w:r>
      <w:r>
        <w:rPr>
          <w:rFonts w:ascii="仿宋" w:eastAsia="仿宋" w:hAnsi="仿宋"/>
          <w:color w:val="000000" w:themeColor="text1"/>
          <w:sz w:val="32"/>
          <w:szCs w:val="32"/>
        </w:rPr>
        <w:t>个。</w:t>
      </w:r>
    </w:p>
    <w:p w:rsidR="002E017E" w:rsidRDefault="00AB3E6F">
      <w:pPr>
        <w:spacing w:line="460" w:lineRule="exact"/>
        <w:ind w:firstLineChars="200" w:firstLine="723"/>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四、建设方式</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（一）统筹布局，择优建设。立足我省科技发展现状，服务新旧动能转换，</w:t>
      </w:r>
      <w:proofErr w:type="gramStart"/>
      <w:r>
        <w:rPr>
          <w:rFonts w:ascii="仿宋" w:eastAsia="仿宋" w:hAnsi="仿宋"/>
          <w:color w:val="000000" w:themeColor="text1"/>
          <w:sz w:val="32"/>
          <w:szCs w:val="32"/>
        </w:rPr>
        <w:t>瞄准十</w:t>
      </w:r>
      <w:proofErr w:type="gramEnd"/>
      <w:r>
        <w:rPr>
          <w:rFonts w:ascii="仿宋" w:eastAsia="仿宋" w:hAnsi="仿宋"/>
          <w:color w:val="000000" w:themeColor="text1"/>
          <w:sz w:val="32"/>
          <w:szCs w:val="32"/>
        </w:rPr>
        <w:t>强产业，通过竞争方式，选择一批基础条件好、创新能力强的企业、高校、科研院所建设技术创新中心。</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（二）针对急需，定向建设。为应对重大</w:t>
      </w:r>
      <w:r>
        <w:rPr>
          <w:rFonts w:ascii="仿宋" w:eastAsia="仿宋" w:hAnsi="仿宋"/>
          <w:color w:val="000000" w:themeColor="text1"/>
          <w:sz w:val="32"/>
          <w:szCs w:val="32"/>
        </w:rPr>
        <w:t>“</w:t>
      </w:r>
      <w:r>
        <w:rPr>
          <w:rFonts w:ascii="仿宋" w:eastAsia="仿宋" w:hAnsi="仿宋"/>
          <w:color w:val="000000" w:themeColor="text1"/>
          <w:sz w:val="32"/>
          <w:szCs w:val="32"/>
        </w:rPr>
        <w:t>卡脖子</w:t>
      </w:r>
      <w:r>
        <w:rPr>
          <w:rFonts w:ascii="仿宋" w:eastAsia="仿宋" w:hAnsi="仿宋"/>
          <w:color w:val="000000" w:themeColor="text1"/>
          <w:sz w:val="32"/>
          <w:szCs w:val="32"/>
        </w:rPr>
        <w:t>”</w:t>
      </w:r>
      <w:r>
        <w:rPr>
          <w:rFonts w:ascii="仿宋" w:eastAsia="仿宋" w:hAnsi="仿宋"/>
          <w:color w:val="000000" w:themeColor="text1"/>
          <w:sz w:val="32"/>
          <w:szCs w:val="32"/>
        </w:rPr>
        <w:t>难题和突发棘手技术难题，按照</w:t>
      </w:r>
      <w:r>
        <w:rPr>
          <w:rFonts w:ascii="仿宋" w:eastAsia="仿宋" w:hAnsi="仿宋"/>
          <w:color w:val="000000" w:themeColor="text1"/>
          <w:sz w:val="32"/>
          <w:szCs w:val="32"/>
        </w:rPr>
        <w:t>“</w:t>
      </w:r>
      <w:r>
        <w:rPr>
          <w:rFonts w:ascii="仿宋" w:eastAsia="仿宋" w:hAnsi="仿宋"/>
          <w:color w:val="000000" w:themeColor="text1"/>
          <w:sz w:val="32"/>
          <w:szCs w:val="32"/>
        </w:rPr>
        <w:t>一事一议</w:t>
      </w:r>
      <w:r>
        <w:rPr>
          <w:rFonts w:ascii="仿宋" w:eastAsia="仿宋" w:hAnsi="仿宋"/>
          <w:color w:val="000000" w:themeColor="text1"/>
          <w:sz w:val="32"/>
          <w:szCs w:val="32"/>
        </w:rPr>
        <w:t>”</w:t>
      </w:r>
      <w:r>
        <w:rPr>
          <w:rFonts w:ascii="仿宋" w:eastAsia="仿宋" w:hAnsi="仿宋"/>
          <w:color w:val="000000" w:themeColor="text1"/>
          <w:sz w:val="32"/>
          <w:szCs w:val="32"/>
        </w:rPr>
        <w:t>原则，组织创新地位突出、创新资源集聚度高、基础条件好的龙头企业、高校和科研院所、新型研发机构定向组建技术创新中心。</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三）培育储备，提档升级。各市级技术创新中心在提升区域创新能力、促进区域经济发展中发挥重要作用的，经市科技局推荐，对符合我省规划布局和建设要求的，可纳入省级技术创新中心储备库，并参加省级技术创新中心绩效评价，达到优秀等级的升级为省级技术创新中心。</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（四）突出特色，择优转建。聚焦我省优势特色产业领域及方向，依托</w:t>
      </w:r>
      <w:r>
        <w:rPr>
          <w:rFonts w:ascii="仿宋" w:eastAsia="仿宋" w:hAnsi="仿宋"/>
          <w:color w:val="000000" w:themeColor="text1"/>
          <w:sz w:val="32"/>
          <w:szCs w:val="32"/>
        </w:rPr>
        <w:t>现有国家工程技术研究中心，对符合条件的，率先择优转建。</w:t>
      </w:r>
    </w:p>
    <w:p w:rsidR="002E017E" w:rsidRDefault="00AB3E6F">
      <w:pPr>
        <w:spacing w:line="460" w:lineRule="exact"/>
        <w:ind w:firstLineChars="200" w:firstLine="723"/>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五、建设基本条件</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（一）聚焦产业</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1.</w:t>
      </w:r>
      <w:r>
        <w:rPr>
          <w:rFonts w:ascii="仿宋" w:eastAsia="仿宋" w:hAnsi="仿宋"/>
          <w:color w:val="000000" w:themeColor="text1"/>
          <w:sz w:val="32"/>
          <w:szCs w:val="32"/>
        </w:rPr>
        <w:t>面向我省重大战略、影响产业发展的重点领域技术创新需求；</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重点聚焦我省新兴、急需、特色产业领域；</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color w:val="000000" w:themeColor="text1"/>
          <w:sz w:val="32"/>
          <w:szCs w:val="32"/>
        </w:rPr>
        <w:t>能够形成技术创新持续供给能力。</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（二）行业优势</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技术创新中心可以依托企业、高校、科研院所建设。</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牵头单位为企业的，须是行业的龙头企业，近三年销售收入一般平均不低于</w:t>
      </w:r>
      <w:r>
        <w:rPr>
          <w:rFonts w:ascii="仿宋" w:eastAsia="仿宋" w:hAnsi="仿宋"/>
          <w:color w:val="000000" w:themeColor="text1"/>
          <w:sz w:val="32"/>
          <w:szCs w:val="32"/>
        </w:rPr>
        <w:t>20</w:t>
      </w:r>
      <w:r>
        <w:rPr>
          <w:rFonts w:ascii="仿宋" w:eastAsia="仿宋" w:hAnsi="仿宋"/>
          <w:color w:val="000000" w:themeColor="text1"/>
          <w:sz w:val="32"/>
          <w:szCs w:val="32"/>
        </w:rPr>
        <w:t>亿元（农业企业不低于</w:t>
      </w:r>
      <w:r>
        <w:rPr>
          <w:rFonts w:ascii="仿宋" w:eastAsia="仿宋" w:hAnsi="仿宋"/>
          <w:color w:val="000000" w:themeColor="text1"/>
          <w:sz w:val="32"/>
          <w:szCs w:val="32"/>
        </w:rPr>
        <w:t>10</w:t>
      </w:r>
      <w:r>
        <w:rPr>
          <w:rFonts w:ascii="仿宋" w:eastAsia="仿宋" w:hAnsi="仿宋"/>
          <w:color w:val="000000" w:themeColor="text1"/>
          <w:sz w:val="32"/>
          <w:szCs w:val="32"/>
        </w:rPr>
        <w:t>亿元），年度研发费用总额占销售收入的比例不低于</w:t>
      </w:r>
      <w:r>
        <w:rPr>
          <w:rFonts w:ascii="仿宋" w:eastAsia="仿宋" w:hAnsi="仿宋"/>
          <w:color w:val="000000" w:themeColor="text1"/>
          <w:sz w:val="32"/>
          <w:szCs w:val="32"/>
        </w:rPr>
        <w:t>4%</w:t>
      </w:r>
      <w:r>
        <w:rPr>
          <w:rFonts w:ascii="仿宋" w:eastAsia="仿宋" w:hAnsi="仿宋"/>
          <w:color w:val="000000" w:themeColor="text1"/>
          <w:sz w:val="32"/>
          <w:szCs w:val="32"/>
        </w:rPr>
        <w:t>（农业企业不低于</w:t>
      </w:r>
      <w:r>
        <w:rPr>
          <w:rFonts w:ascii="仿宋" w:eastAsia="仿宋" w:hAnsi="仿宋"/>
          <w:color w:val="000000" w:themeColor="text1"/>
          <w:sz w:val="32"/>
          <w:szCs w:val="32"/>
        </w:rPr>
        <w:t>3%</w:t>
      </w:r>
      <w:r>
        <w:rPr>
          <w:rFonts w:ascii="仿宋" w:eastAsia="仿宋" w:hAnsi="仿宋"/>
          <w:color w:val="000000" w:themeColor="text1"/>
          <w:sz w:val="32"/>
          <w:szCs w:val="32"/>
        </w:rPr>
        <w:t>）；</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牵头单位为高等学校、科研院所、新型研发机构的，其销售收入不作要求，但须在前沿、颠覆性技术领域具有优势，已建立高效的研发体系和知识产权管理与运用制度，对外提供技术咨询、技术服务、技术转让等取得的收入占年收入的比例不低于</w:t>
      </w:r>
      <w:r>
        <w:rPr>
          <w:rFonts w:ascii="仿宋" w:eastAsia="仿宋" w:hAnsi="仿宋"/>
          <w:color w:val="000000" w:themeColor="text1"/>
          <w:sz w:val="32"/>
          <w:szCs w:val="32"/>
        </w:rPr>
        <w:t>30%</w:t>
      </w:r>
      <w:r>
        <w:rPr>
          <w:rFonts w:ascii="仿宋" w:eastAsia="仿宋" w:hAnsi="仿宋"/>
          <w:color w:val="000000" w:themeColor="text1"/>
          <w:sz w:val="32"/>
          <w:szCs w:val="32"/>
        </w:rPr>
        <w:t>；有技术转让、技术许可或通过自行孵化企业，实现科技成果转化的成功案例</w:t>
      </w:r>
      <w:r>
        <w:rPr>
          <w:rFonts w:ascii="仿宋" w:eastAsia="仿宋" w:hAnsi="仿宋"/>
          <w:color w:val="000000" w:themeColor="text1"/>
          <w:sz w:val="32"/>
          <w:szCs w:val="32"/>
        </w:rPr>
        <w:t>5</w:t>
      </w:r>
      <w:r>
        <w:rPr>
          <w:rFonts w:ascii="仿宋" w:eastAsia="仿宋" w:hAnsi="仿宋"/>
          <w:color w:val="000000" w:themeColor="text1"/>
          <w:sz w:val="32"/>
          <w:szCs w:val="32"/>
        </w:rPr>
        <w:t>例以上。</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（三）研发能力</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依托单位具有承担国家及省级重大科研项目的经验和能力，有丰富的科研成果和足够的知识产权作为技术支撑；</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依托单位近三年一般要承担过</w:t>
      </w:r>
      <w:r>
        <w:rPr>
          <w:rFonts w:ascii="仿宋" w:eastAsia="仿宋" w:hAnsi="仿宋"/>
          <w:color w:val="000000" w:themeColor="text1"/>
          <w:sz w:val="32"/>
          <w:szCs w:val="32"/>
        </w:rPr>
        <w:t>6</w:t>
      </w:r>
      <w:r>
        <w:rPr>
          <w:rFonts w:ascii="仿宋" w:eastAsia="仿宋" w:hAnsi="仿宋"/>
          <w:color w:val="000000" w:themeColor="text1"/>
          <w:sz w:val="32"/>
          <w:szCs w:val="32"/>
        </w:rPr>
        <w:t>项以上国家或省级科研项目；</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3.</w:t>
      </w:r>
      <w:r>
        <w:rPr>
          <w:rFonts w:ascii="仿宋" w:eastAsia="仿宋" w:hAnsi="仿宋"/>
          <w:color w:val="000000" w:themeColor="text1"/>
          <w:sz w:val="32"/>
          <w:szCs w:val="32"/>
        </w:rPr>
        <w:t>技术水平得到认可，近三</w:t>
      </w:r>
      <w:r>
        <w:rPr>
          <w:rFonts w:ascii="仿宋" w:eastAsia="仿宋" w:hAnsi="仿宋"/>
          <w:color w:val="000000" w:themeColor="text1"/>
          <w:sz w:val="32"/>
          <w:szCs w:val="32"/>
        </w:rPr>
        <w:t>年获得至少</w:t>
      </w:r>
      <w:r>
        <w:rPr>
          <w:rFonts w:ascii="仿宋" w:eastAsia="仿宋" w:hAnsi="仿宋"/>
          <w:color w:val="000000" w:themeColor="text1"/>
          <w:sz w:val="32"/>
          <w:szCs w:val="32"/>
        </w:rPr>
        <w:t>1</w:t>
      </w:r>
      <w:r>
        <w:rPr>
          <w:rFonts w:ascii="仿宋" w:eastAsia="仿宋" w:hAnsi="仿宋"/>
          <w:color w:val="000000" w:themeColor="text1"/>
          <w:sz w:val="32"/>
          <w:szCs w:val="32"/>
        </w:rPr>
        <w:t>项省级或国家级科技奖励，获得发明专利不少于</w:t>
      </w:r>
      <w:r>
        <w:rPr>
          <w:rFonts w:ascii="仿宋" w:eastAsia="仿宋" w:hAnsi="仿宋"/>
          <w:color w:val="000000" w:themeColor="text1"/>
          <w:sz w:val="32"/>
          <w:szCs w:val="32"/>
        </w:rPr>
        <w:t>15</w:t>
      </w:r>
      <w:r>
        <w:rPr>
          <w:rFonts w:ascii="仿宋" w:eastAsia="仿宋" w:hAnsi="仿宋"/>
          <w:color w:val="000000" w:themeColor="text1"/>
          <w:sz w:val="32"/>
          <w:szCs w:val="32"/>
        </w:rPr>
        <w:t>件。</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（四）人才队伍</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配置合理稳定的技术创新团队，能吸引海内外优秀人才互动交流，开展合作研究与科技成果转化工作；</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科研人员数量不少于</w:t>
      </w:r>
      <w:r>
        <w:rPr>
          <w:rFonts w:ascii="仿宋" w:eastAsia="仿宋" w:hAnsi="仿宋"/>
          <w:color w:val="000000" w:themeColor="text1"/>
          <w:sz w:val="32"/>
          <w:szCs w:val="32"/>
        </w:rPr>
        <w:t>100</w:t>
      </w:r>
      <w:r>
        <w:rPr>
          <w:rFonts w:ascii="仿宋" w:eastAsia="仿宋" w:hAnsi="仿宋"/>
          <w:color w:val="000000" w:themeColor="text1"/>
          <w:sz w:val="32"/>
          <w:szCs w:val="32"/>
        </w:rPr>
        <w:t>人，固定人员不少于</w:t>
      </w:r>
      <w:r>
        <w:rPr>
          <w:rFonts w:ascii="仿宋" w:eastAsia="仿宋" w:hAnsi="仿宋"/>
          <w:color w:val="000000" w:themeColor="text1"/>
          <w:sz w:val="32"/>
          <w:szCs w:val="32"/>
        </w:rPr>
        <w:t>80%</w:t>
      </w:r>
      <w:r>
        <w:rPr>
          <w:rFonts w:ascii="仿宋" w:eastAsia="仿宋" w:hAnsi="仿宋"/>
          <w:color w:val="000000" w:themeColor="text1"/>
          <w:sz w:val="32"/>
          <w:szCs w:val="32"/>
        </w:rPr>
        <w:t>；国家级和省级高层次人才不少于</w:t>
      </w:r>
      <w:r>
        <w:rPr>
          <w:rFonts w:ascii="仿宋" w:eastAsia="仿宋" w:hAnsi="仿宋"/>
          <w:color w:val="000000" w:themeColor="text1"/>
          <w:sz w:val="32"/>
          <w:szCs w:val="32"/>
        </w:rPr>
        <w:t>3</w:t>
      </w:r>
      <w:r>
        <w:rPr>
          <w:rFonts w:ascii="仿宋" w:eastAsia="仿宋" w:hAnsi="仿宋"/>
          <w:color w:val="000000" w:themeColor="text1"/>
          <w:sz w:val="32"/>
          <w:szCs w:val="32"/>
        </w:rPr>
        <w:t>人；</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color w:val="000000" w:themeColor="text1"/>
          <w:sz w:val="32"/>
          <w:szCs w:val="32"/>
        </w:rPr>
        <w:t>培养或引进院士专家的优先支持。</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（五）研发投入</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依托单位须提供必要的基础设施及科研仪器设备，一般科研用房面积不低于</w:t>
      </w:r>
      <w:r>
        <w:rPr>
          <w:rFonts w:ascii="仿宋" w:eastAsia="仿宋" w:hAnsi="仿宋"/>
          <w:color w:val="000000" w:themeColor="text1"/>
          <w:sz w:val="32"/>
          <w:szCs w:val="32"/>
        </w:rPr>
        <w:t>4000</w:t>
      </w:r>
      <w:r>
        <w:rPr>
          <w:rFonts w:ascii="仿宋" w:eastAsia="仿宋" w:hAnsi="仿宋"/>
          <w:color w:val="000000" w:themeColor="text1"/>
          <w:sz w:val="32"/>
          <w:szCs w:val="32"/>
        </w:rPr>
        <w:t>平方米，建有</w:t>
      </w:r>
      <w:r>
        <w:rPr>
          <w:rFonts w:ascii="仿宋" w:eastAsia="仿宋" w:hAnsi="仿宋"/>
          <w:color w:val="000000" w:themeColor="text1"/>
          <w:sz w:val="32"/>
          <w:szCs w:val="32"/>
        </w:rPr>
        <w:t>2</w:t>
      </w:r>
      <w:r>
        <w:rPr>
          <w:rFonts w:ascii="仿宋" w:eastAsia="仿宋" w:hAnsi="仿宋"/>
          <w:color w:val="000000" w:themeColor="text1"/>
          <w:sz w:val="32"/>
          <w:szCs w:val="32"/>
        </w:rPr>
        <w:t>个以上的中试基地或产业化基地；</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实验仪器设备原值总和不低于</w:t>
      </w:r>
      <w:r>
        <w:rPr>
          <w:rFonts w:ascii="仿宋" w:eastAsia="仿宋" w:hAnsi="仿宋"/>
          <w:color w:val="000000" w:themeColor="text1"/>
          <w:sz w:val="32"/>
          <w:szCs w:val="32"/>
        </w:rPr>
        <w:t>3000</w:t>
      </w:r>
      <w:r>
        <w:rPr>
          <w:rFonts w:ascii="仿宋" w:eastAsia="仿宋" w:hAnsi="仿宋"/>
          <w:color w:val="000000" w:themeColor="text1"/>
          <w:sz w:val="32"/>
          <w:szCs w:val="32"/>
        </w:rPr>
        <w:t>万元；</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color w:val="000000" w:themeColor="text1"/>
          <w:sz w:val="32"/>
          <w:szCs w:val="32"/>
        </w:rPr>
        <w:t>每年度投入技术创新中心的研发经费不少于</w:t>
      </w:r>
      <w:r>
        <w:rPr>
          <w:rFonts w:ascii="仿宋" w:eastAsia="仿宋" w:hAnsi="仿宋"/>
          <w:color w:val="000000" w:themeColor="text1"/>
          <w:sz w:val="32"/>
          <w:szCs w:val="32"/>
        </w:rPr>
        <w:t>2000</w:t>
      </w:r>
      <w:r>
        <w:rPr>
          <w:rFonts w:ascii="仿宋" w:eastAsia="仿宋" w:hAnsi="仿宋"/>
          <w:color w:val="000000" w:themeColor="text1"/>
          <w:sz w:val="32"/>
          <w:szCs w:val="32"/>
        </w:rPr>
        <w:t>万元。</w:t>
      </w:r>
    </w:p>
    <w:p w:rsidR="002E017E" w:rsidRDefault="00AB3E6F">
      <w:pPr>
        <w:spacing w:line="460" w:lineRule="exact"/>
        <w:ind w:firstLineChars="200" w:firstLine="723"/>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六、建设程序</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（一）提出意向。由设区市政府、省直有关部门等根据省科技厅统筹布局和申报要求，推荐提出建设意向，并组织创建，牵头单位编制建设与运行实施方案。</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（二）咨询论证。省科技厅组织专家对建设与运行实施方案进行咨询论证、开展实地考察，建设单位根据专家意见及建设条件完善方案。</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（三）创建申请。建设单位按照咨询论证意见整改完善、落实有关要求后，由设区市政府、省直有关部门正式提出创建申请。</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（四）批复建设。对通过方案评审、实地评估、各方面条件成熟的，省科技</w:t>
      </w:r>
      <w:r>
        <w:rPr>
          <w:rFonts w:ascii="仿宋" w:eastAsia="仿宋" w:hAnsi="仿宋"/>
          <w:color w:val="000000" w:themeColor="text1"/>
          <w:sz w:val="32"/>
          <w:szCs w:val="32"/>
        </w:rPr>
        <w:t>厅公示无异议后，发文批复筹建。</w:t>
      </w:r>
    </w:p>
    <w:p w:rsidR="002E017E" w:rsidRDefault="00AB3E6F">
      <w:pPr>
        <w:spacing w:line="460" w:lineRule="exact"/>
        <w:ind w:firstLineChars="200" w:firstLine="723"/>
        <w:rPr>
          <w:rFonts w:ascii="仿宋" w:eastAsia="仿宋" w:hAnsi="仿宋"/>
          <w:b/>
          <w:bCs/>
          <w:color w:val="000000" w:themeColor="text1"/>
          <w:sz w:val="36"/>
          <w:szCs w:val="36"/>
          <w:shd w:val="clear" w:color="auto" w:fill="FFFFFF"/>
        </w:rPr>
      </w:pPr>
      <w:r>
        <w:rPr>
          <w:rFonts w:ascii="仿宋" w:eastAsia="仿宋" w:hAnsi="仿宋" w:hint="eastAsia"/>
          <w:b/>
          <w:bCs/>
          <w:color w:val="000000" w:themeColor="text1"/>
          <w:sz w:val="36"/>
          <w:szCs w:val="36"/>
          <w:shd w:val="clear" w:color="auto" w:fill="FFFFFF"/>
        </w:rPr>
        <w:t>七、管理运行机制</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（一）组织管理</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1.</w:t>
      </w:r>
      <w:r>
        <w:rPr>
          <w:rFonts w:ascii="仿宋" w:eastAsia="仿宋" w:hAnsi="仿宋"/>
          <w:color w:val="000000" w:themeColor="text1"/>
          <w:sz w:val="32"/>
          <w:szCs w:val="32"/>
        </w:rPr>
        <w:t>法人制度。技术创新中心原则上应成立独立法人实体。尚不具备条件的，先行实现人、财、物相对独立的管理机制，</w:t>
      </w:r>
      <w:r>
        <w:rPr>
          <w:rFonts w:ascii="仿宋" w:eastAsia="仿宋" w:hAnsi="仿宋"/>
          <w:color w:val="000000" w:themeColor="text1"/>
          <w:sz w:val="32"/>
          <w:szCs w:val="32"/>
        </w:rPr>
        <w:t>3</w:t>
      </w:r>
      <w:r>
        <w:rPr>
          <w:rFonts w:ascii="仿宋" w:eastAsia="仿宋" w:hAnsi="仿宋"/>
          <w:color w:val="000000" w:themeColor="text1"/>
          <w:sz w:val="32"/>
          <w:szCs w:val="32"/>
        </w:rPr>
        <w:t>年内完成向独立法人过渡。根据组建模式的不同，可以探索组建企业、民非、新型研发机构等不同类型的法人实体。</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2.</w:t>
      </w:r>
      <w:r>
        <w:rPr>
          <w:rFonts w:ascii="仿宋" w:eastAsia="仿宋" w:hAnsi="仿宋"/>
          <w:color w:val="000000" w:themeColor="text1"/>
          <w:sz w:val="32"/>
          <w:szCs w:val="32"/>
        </w:rPr>
        <w:t>组织架构。组建理事会</w:t>
      </w:r>
      <w:r>
        <w:rPr>
          <w:rFonts w:ascii="仿宋" w:eastAsia="仿宋" w:hAnsi="仿宋"/>
          <w:color w:val="000000" w:themeColor="text1"/>
          <w:sz w:val="32"/>
          <w:szCs w:val="32"/>
        </w:rPr>
        <w:t>(</w:t>
      </w:r>
      <w:r>
        <w:rPr>
          <w:rFonts w:ascii="仿宋" w:eastAsia="仿宋" w:hAnsi="仿宋"/>
          <w:color w:val="000000" w:themeColor="text1"/>
          <w:sz w:val="32"/>
          <w:szCs w:val="32"/>
        </w:rPr>
        <w:t>董事会</w:t>
      </w:r>
      <w:r>
        <w:rPr>
          <w:rFonts w:ascii="仿宋" w:eastAsia="仿宋" w:hAnsi="仿宋"/>
          <w:color w:val="000000" w:themeColor="text1"/>
          <w:sz w:val="32"/>
          <w:szCs w:val="32"/>
        </w:rPr>
        <w:t>)</w:t>
      </w:r>
      <w:r>
        <w:rPr>
          <w:rFonts w:ascii="仿宋" w:eastAsia="仿宋" w:hAnsi="仿宋"/>
          <w:color w:val="000000" w:themeColor="text1"/>
          <w:sz w:val="32"/>
          <w:szCs w:val="32"/>
        </w:rPr>
        <w:t>、专家委员会，制定管理章程，明确企业、高校、科研院所等共建单位的权利和义务，实行理事会</w:t>
      </w:r>
      <w:r>
        <w:rPr>
          <w:rFonts w:ascii="仿宋" w:eastAsia="仿宋" w:hAnsi="仿宋"/>
          <w:color w:val="000000" w:themeColor="text1"/>
          <w:sz w:val="32"/>
          <w:szCs w:val="32"/>
        </w:rPr>
        <w:t>(</w:t>
      </w:r>
      <w:r>
        <w:rPr>
          <w:rFonts w:ascii="仿宋" w:eastAsia="仿宋" w:hAnsi="仿宋"/>
          <w:color w:val="000000" w:themeColor="text1"/>
          <w:sz w:val="32"/>
          <w:szCs w:val="32"/>
        </w:rPr>
        <w:t>董事会</w:t>
      </w:r>
      <w:r>
        <w:rPr>
          <w:rFonts w:ascii="仿宋" w:eastAsia="仿宋" w:hAnsi="仿宋"/>
          <w:color w:val="000000" w:themeColor="text1"/>
          <w:sz w:val="32"/>
          <w:szCs w:val="32"/>
        </w:rPr>
        <w:t>)</w:t>
      </w:r>
      <w:r>
        <w:rPr>
          <w:rFonts w:ascii="仿宋" w:eastAsia="仿宋" w:hAnsi="仿宋"/>
          <w:color w:val="000000" w:themeColor="text1"/>
          <w:sz w:val="32"/>
          <w:szCs w:val="32"/>
        </w:rPr>
        <w:t>决策制、中心主任负责制、专家委员会咨询制的管理机制。</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w:t>
      </w:r>
      <w:r>
        <w:rPr>
          <w:rFonts w:ascii="仿宋" w:eastAsia="仿宋" w:hAnsi="仿宋"/>
          <w:color w:val="000000" w:themeColor="text1"/>
          <w:sz w:val="32"/>
          <w:szCs w:val="32"/>
        </w:rPr>
        <w:t>1</w:t>
      </w:r>
      <w:r>
        <w:rPr>
          <w:rFonts w:ascii="仿宋" w:eastAsia="仿宋" w:hAnsi="仿宋"/>
          <w:color w:val="000000" w:themeColor="text1"/>
          <w:sz w:val="32"/>
          <w:szCs w:val="32"/>
        </w:rPr>
        <w:t>）理事会</w:t>
      </w:r>
      <w:r>
        <w:rPr>
          <w:rFonts w:ascii="仿宋" w:eastAsia="仿宋" w:hAnsi="仿宋"/>
          <w:color w:val="000000" w:themeColor="text1"/>
          <w:sz w:val="32"/>
          <w:szCs w:val="32"/>
        </w:rPr>
        <w:t>(</w:t>
      </w:r>
      <w:r>
        <w:rPr>
          <w:rFonts w:ascii="仿宋" w:eastAsia="仿宋" w:hAnsi="仿宋"/>
          <w:color w:val="000000" w:themeColor="text1"/>
          <w:sz w:val="32"/>
          <w:szCs w:val="32"/>
        </w:rPr>
        <w:t>董事会</w:t>
      </w:r>
      <w:r>
        <w:rPr>
          <w:rFonts w:ascii="仿宋" w:eastAsia="仿宋" w:hAnsi="仿宋"/>
          <w:color w:val="000000" w:themeColor="text1"/>
          <w:sz w:val="32"/>
          <w:szCs w:val="32"/>
        </w:rPr>
        <w:t>)</w:t>
      </w:r>
      <w:r>
        <w:rPr>
          <w:rFonts w:ascii="仿宋" w:eastAsia="仿宋" w:hAnsi="仿宋"/>
          <w:color w:val="000000" w:themeColor="text1"/>
          <w:sz w:val="32"/>
          <w:szCs w:val="32"/>
        </w:rPr>
        <w:t>由地方政府、牵头单位、共建单</w:t>
      </w:r>
      <w:r>
        <w:rPr>
          <w:rFonts w:ascii="仿宋" w:eastAsia="仿宋" w:hAnsi="仿宋"/>
          <w:color w:val="000000" w:themeColor="text1"/>
          <w:sz w:val="32"/>
          <w:szCs w:val="32"/>
        </w:rPr>
        <w:t>位的人员组成</w:t>
      </w:r>
      <w:r>
        <w:rPr>
          <w:rFonts w:ascii="仿宋" w:eastAsia="仿宋" w:hAnsi="仿宋"/>
          <w:color w:val="000000" w:themeColor="text1"/>
          <w:sz w:val="32"/>
          <w:szCs w:val="32"/>
        </w:rPr>
        <w:t>(</w:t>
      </w:r>
      <w:r>
        <w:rPr>
          <w:rFonts w:ascii="仿宋" w:eastAsia="仿宋" w:hAnsi="仿宋"/>
          <w:color w:val="000000" w:themeColor="text1"/>
          <w:sz w:val="32"/>
          <w:szCs w:val="32"/>
        </w:rPr>
        <w:t>无共建单位的由牵头单位相关人员组成</w:t>
      </w:r>
      <w:r>
        <w:rPr>
          <w:rFonts w:ascii="仿宋" w:eastAsia="仿宋" w:hAnsi="仿宋"/>
          <w:color w:val="000000" w:themeColor="text1"/>
          <w:sz w:val="32"/>
          <w:szCs w:val="32"/>
        </w:rPr>
        <w:t>)</w:t>
      </w:r>
      <w:r>
        <w:rPr>
          <w:rFonts w:ascii="仿宋" w:eastAsia="仿宋" w:hAnsi="仿宋"/>
          <w:color w:val="000000" w:themeColor="text1"/>
          <w:sz w:val="32"/>
          <w:szCs w:val="32"/>
        </w:rPr>
        <w:t>，理事长</w:t>
      </w:r>
      <w:r>
        <w:rPr>
          <w:rFonts w:ascii="仿宋" w:eastAsia="仿宋" w:hAnsi="仿宋"/>
          <w:color w:val="000000" w:themeColor="text1"/>
          <w:sz w:val="32"/>
          <w:szCs w:val="32"/>
        </w:rPr>
        <w:t>(</w:t>
      </w:r>
      <w:r>
        <w:rPr>
          <w:rFonts w:ascii="仿宋" w:eastAsia="仿宋" w:hAnsi="仿宋"/>
          <w:color w:val="000000" w:themeColor="text1"/>
          <w:sz w:val="32"/>
          <w:szCs w:val="32"/>
        </w:rPr>
        <w:t>董事长</w:t>
      </w:r>
      <w:r>
        <w:rPr>
          <w:rFonts w:ascii="仿宋" w:eastAsia="仿宋" w:hAnsi="仿宋"/>
          <w:color w:val="000000" w:themeColor="text1"/>
          <w:sz w:val="32"/>
          <w:szCs w:val="32"/>
        </w:rPr>
        <w:t>)</w:t>
      </w:r>
      <w:r>
        <w:rPr>
          <w:rFonts w:ascii="仿宋" w:eastAsia="仿宋" w:hAnsi="仿宋"/>
          <w:color w:val="000000" w:themeColor="text1"/>
          <w:sz w:val="32"/>
          <w:szCs w:val="32"/>
        </w:rPr>
        <w:t>定期组织召开会议，研究审定技术创新中心的发展计划、重大项目、经费预决算、主任聘用等重大事项，决策技术创新中心建设、管理、发展和人财物等方面事项。</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w:t>
      </w:r>
      <w:r>
        <w:rPr>
          <w:rFonts w:ascii="仿宋" w:eastAsia="仿宋" w:hAnsi="仿宋"/>
          <w:color w:val="000000" w:themeColor="text1"/>
          <w:sz w:val="32"/>
          <w:szCs w:val="32"/>
        </w:rPr>
        <w:t>2</w:t>
      </w:r>
      <w:r>
        <w:rPr>
          <w:rFonts w:ascii="仿宋" w:eastAsia="仿宋" w:hAnsi="仿宋"/>
          <w:color w:val="000000" w:themeColor="text1"/>
          <w:sz w:val="32"/>
          <w:szCs w:val="32"/>
        </w:rPr>
        <w:t>）专家委员会由中心主任、技术专家、管理专家、</w:t>
      </w:r>
      <w:r>
        <w:rPr>
          <w:rFonts w:ascii="仿宋" w:eastAsia="仿宋" w:hAnsi="仿宋"/>
          <w:color w:val="000000" w:themeColor="text1"/>
          <w:sz w:val="32"/>
          <w:szCs w:val="32"/>
        </w:rPr>
        <w:lastRenderedPageBreak/>
        <w:t>经济专家等人员组成，其中牵头单位和共建单位的人员不超过总人数三分之一。专家委员会主任应由非依托单位、共建单位的有影响的专家担任。专家委员会对技术创新中心研发方向和研发内容、科研计划和项目、知识产权管理和技术服务、重大学术活动以及年度工作等提出咨询指导</w:t>
      </w:r>
      <w:r>
        <w:rPr>
          <w:rFonts w:ascii="仿宋" w:eastAsia="仿宋" w:hAnsi="仿宋"/>
          <w:color w:val="000000" w:themeColor="text1"/>
          <w:sz w:val="32"/>
          <w:szCs w:val="32"/>
        </w:rPr>
        <w:t>意见。</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w:t>
      </w:r>
      <w:r>
        <w:rPr>
          <w:rFonts w:ascii="仿宋" w:eastAsia="仿宋" w:hAnsi="仿宋"/>
          <w:color w:val="000000" w:themeColor="text1"/>
          <w:sz w:val="32"/>
          <w:szCs w:val="32"/>
        </w:rPr>
        <w:t>3</w:t>
      </w:r>
      <w:r>
        <w:rPr>
          <w:rFonts w:ascii="仿宋" w:eastAsia="仿宋" w:hAnsi="仿宋"/>
          <w:color w:val="000000" w:themeColor="text1"/>
          <w:sz w:val="32"/>
          <w:szCs w:val="32"/>
        </w:rPr>
        <w:t>）中心主任应具有较强的科技创新工作组织管理能力，每年在技术创新中心工作时间不少于</w:t>
      </w:r>
      <w:r>
        <w:rPr>
          <w:rFonts w:ascii="仿宋" w:eastAsia="仿宋" w:hAnsi="仿宋"/>
          <w:color w:val="000000" w:themeColor="text1"/>
          <w:sz w:val="32"/>
          <w:szCs w:val="32"/>
        </w:rPr>
        <w:t>9</w:t>
      </w:r>
      <w:r>
        <w:rPr>
          <w:rFonts w:ascii="仿宋" w:eastAsia="仿宋" w:hAnsi="仿宋"/>
          <w:color w:val="000000" w:themeColor="text1"/>
          <w:sz w:val="32"/>
          <w:szCs w:val="32"/>
        </w:rPr>
        <w:t>个月。</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二）公司化运行机制。企业牵头建设的技术创新中心以独立法人实体开展公司化运营管理，严格健全和执行公司章程及各类管理制度，通过市场化运行、股权激励、专业化管理等保障技术创新中心稳定高效运营。其他实体牵头建设的技术创新中心探索建立公司化运行机制。</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（三）产学研合作机制。技术创新中心通过体制机制创新有效整合国内外行业优势科研及产业资源，围绕技术突破、技术转化、技术引领建设技术链和产业链上下游高效协同的创新平台，建立起</w:t>
      </w:r>
      <w:r>
        <w:rPr>
          <w:rFonts w:ascii="仿宋" w:eastAsia="仿宋" w:hAnsi="仿宋"/>
          <w:color w:val="000000" w:themeColor="text1"/>
          <w:sz w:val="32"/>
          <w:szCs w:val="32"/>
        </w:rPr>
        <w:t>“</w:t>
      </w:r>
      <w:r>
        <w:rPr>
          <w:rFonts w:ascii="仿宋" w:eastAsia="仿宋" w:hAnsi="仿宋"/>
          <w:color w:val="000000" w:themeColor="text1"/>
          <w:sz w:val="32"/>
          <w:szCs w:val="32"/>
        </w:rPr>
        <w:t>源头创新驱动</w:t>
      </w:r>
      <w:r>
        <w:rPr>
          <w:rFonts w:ascii="仿宋" w:eastAsia="仿宋" w:hAnsi="仿宋"/>
          <w:color w:val="000000" w:themeColor="text1"/>
          <w:sz w:val="32"/>
          <w:szCs w:val="32"/>
        </w:rPr>
        <w:t>”</w:t>
      </w:r>
      <w:r>
        <w:rPr>
          <w:rFonts w:ascii="仿宋" w:eastAsia="仿宋" w:hAnsi="仿宋"/>
          <w:color w:val="000000" w:themeColor="text1"/>
          <w:sz w:val="32"/>
          <w:szCs w:val="32"/>
        </w:rPr>
        <w:t>与</w:t>
      </w:r>
      <w:r>
        <w:rPr>
          <w:rFonts w:ascii="仿宋" w:eastAsia="仿宋" w:hAnsi="仿宋"/>
          <w:color w:val="000000" w:themeColor="text1"/>
          <w:sz w:val="32"/>
          <w:szCs w:val="32"/>
        </w:rPr>
        <w:t>“</w:t>
      </w:r>
      <w:r>
        <w:rPr>
          <w:rFonts w:ascii="仿宋" w:eastAsia="仿宋" w:hAnsi="仿宋"/>
          <w:color w:val="000000" w:themeColor="text1"/>
          <w:sz w:val="32"/>
          <w:szCs w:val="32"/>
        </w:rPr>
        <w:t>市场需求牵引</w:t>
      </w:r>
      <w:r>
        <w:rPr>
          <w:rFonts w:ascii="仿宋" w:eastAsia="仿宋" w:hAnsi="仿宋"/>
          <w:color w:val="000000" w:themeColor="text1"/>
          <w:sz w:val="32"/>
          <w:szCs w:val="32"/>
        </w:rPr>
        <w:t>”</w:t>
      </w:r>
      <w:r>
        <w:rPr>
          <w:rFonts w:ascii="仿宋" w:eastAsia="仿宋" w:hAnsi="仿宋"/>
          <w:color w:val="000000" w:themeColor="text1"/>
          <w:sz w:val="32"/>
          <w:szCs w:val="32"/>
        </w:rPr>
        <w:t>相结合的协同研发机制，实现企业与高校院所一体化合作，建立创新联合体。</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（四）多元化投入机制。建立以地方政府和共建单位直接投入为主，引导带动各类产业投资和社会资本投入的多元投入机制，形成市场化服务收入、竞争性课题以及财政资金后补助等稳定的资金来源。</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t>（五）人才激励机制。探索人才引进和管理新模式，试行</w:t>
      </w:r>
      <w:r>
        <w:rPr>
          <w:rFonts w:ascii="仿宋" w:eastAsia="仿宋" w:hAnsi="仿宋"/>
          <w:color w:val="000000" w:themeColor="text1"/>
          <w:sz w:val="32"/>
          <w:szCs w:val="32"/>
        </w:rPr>
        <w:t>“</w:t>
      </w:r>
      <w:r>
        <w:rPr>
          <w:rFonts w:ascii="仿宋" w:eastAsia="仿宋" w:hAnsi="仿宋"/>
          <w:color w:val="000000" w:themeColor="text1"/>
          <w:sz w:val="32"/>
          <w:szCs w:val="32"/>
        </w:rPr>
        <w:t>双聘、双考核</w:t>
      </w:r>
      <w:r>
        <w:rPr>
          <w:rFonts w:ascii="仿宋" w:eastAsia="仿宋" w:hAnsi="仿宋"/>
          <w:color w:val="000000" w:themeColor="text1"/>
          <w:sz w:val="32"/>
          <w:szCs w:val="32"/>
        </w:rPr>
        <w:t>”</w:t>
      </w:r>
      <w:r>
        <w:rPr>
          <w:rFonts w:ascii="仿宋" w:eastAsia="仿宋" w:hAnsi="仿宋"/>
          <w:color w:val="000000" w:themeColor="text1"/>
          <w:sz w:val="32"/>
          <w:szCs w:val="32"/>
        </w:rPr>
        <w:t>等柔性引才引智机制，构建应用基础研究、工程研发、技术推广相结合的人才队伍结构。强化建立以成果、目标为导向的人才激励机制，激发人才创新活力。</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（六）市场化服务机制。充分利用自身软硬件和人才资源优势，面向全行业提供市场化服务，主要包括合同研发、产业孵化、行业服务等。通过市场化服务获取收益，实现自身造血，保障中心可持续发展。</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（七）共建合作机制。共建单位共同入股技术创新中心，参与技术创新中心的重大事项决策。共建单位以技术创新中心为平台开展定制化研发</w:t>
      </w:r>
      <w:r>
        <w:rPr>
          <w:rFonts w:ascii="仿宋" w:eastAsia="仿宋" w:hAnsi="仿宋"/>
          <w:color w:val="000000" w:themeColor="text1"/>
          <w:sz w:val="32"/>
          <w:szCs w:val="32"/>
        </w:rPr>
        <w:t>、实施竞争性课题、建立资源协同平台并投资孵化项目，享有商业机会的优先知情权和参与权。</w:t>
      </w:r>
    </w:p>
    <w:p w:rsidR="002E017E" w:rsidRDefault="00AB3E6F">
      <w:pPr>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t>附件：省技术创新中心建设指标体系</w:t>
      </w: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pStyle w:val="a5"/>
        <w:spacing w:before="0" w:beforeAutospacing="0" w:after="0" w:afterAutospacing="0"/>
        <w:rPr>
          <w:color w:val="000000" w:themeColor="text1"/>
        </w:rPr>
      </w:pPr>
    </w:p>
    <w:p w:rsidR="002E017E" w:rsidRDefault="002E017E">
      <w:pPr>
        <w:spacing w:line="580" w:lineRule="exact"/>
        <w:rPr>
          <w:rFonts w:ascii="黑体" w:eastAsia="黑体" w:hAnsi="黑体" w:cs="黑体"/>
          <w:color w:val="000000" w:themeColor="text1"/>
          <w:kern w:val="0"/>
          <w:sz w:val="32"/>
          <w:szCs w:val="32"/>
          <w:lang w:bidi="ar"/>
        </w:rPr>
      </w:pPr>
    </w:p>
    <w:p w:rsidR="002E017E" w:rsidRDefault="002E017E">
      <w:pPr>
        <w:spacing w:line="580" w:lineRule="exact"/>
        <w:rPr>
          <w:rFonts w:ascii="黑体" w:eastAsia="黑体" w:hAnsi="黑体" w:cs="黑体"/>
          <w:color w:val="000000" w:themeColor="text1"/>
          <w:kern w:val="0"/>
          <w:sz w:val="32"/>
          <w:szCs w:val="32"/>
          <w:lang w:bidi="ar"/>
        </w:rPr>
      </w:pPr>
    </w:p>
    <w:p w:rsidR="002E017E" w:rsidRDefault="00AB3E6F">
      <w:pPr>
        <w:spacing w:line="580" w:lineRule="exact"/>
        <w:rPr>
          <w:rFonts w:ascii="方正小标宋简体" w:eastAsia="黑体" w:hAnsi="方正小标宋简体" w:cs="方正小标宋简体"/>
          <w:color w:val="000000" w:themeColor="text1"/>
          <w:kern w:val="0"/>
          <w:sz w:val="32"/>
          <w:szCs w:val="32"/>
          <w:lang w:bidi="ar"/>
        </w:rPr>
      </w:pPr>
      <w:r>
        <w:rPr>
          <w:rFonts w:ascii="黑体" w:eastAsia="黑体" w:hAnsi="黑体" w:cs="黑体" w:hint="eastAsia"/>
          <w:color w:val="000000" w:themeColor="text1"/>
          <w:kern w:val="0"/>
          <w:sz w:val="32"/>
          <w:szCs w:val="32"/>
          <w:lang w:bidi="ar"/>
        </w:rPr>
        <w:lastRenderedPageBreak/>
        <w:t>附件</w:t>
      </w:r>
    </w:p>
    <w:p w:rsidR="002E017E" w:rsidRDefault="00AB3E6F">
      <w:pPr>
        <w:spacing w:line="580" w:lineRule="exact"/>
        <w:jc w:val="center"/>
        <w:rPr>
          <w:color w:val="000000" w:themeColor="text1"/>
        </w:rPr>
      </w:pPr>
      <w:r>
        <w:rPr>
          <w:rFonts w:ascii="方正小标宋简体" w:eastAsia="方正小标宋简体" w:hAnsi="方正小标宋简体" w:cs="方正小标宋简体" w:hint="eastAsia"/>
          <w:color w:val="000000" w:themeColor="text1"/>
          <w:kern w:val="0"/>
          <w:sz w:val="44"/>
          <w:szCs w:val="44"/>
          <w:lang w:bidi="ar"/>
        </w:rPr>
        <w:t>省技术创新中心建设指标体系</w:t>
      </w:r>
    </w:p>
    <w:tbl>
      <w:tblPr>
        <w:tblW w:w="10211" w:type="dxa"/>
        <w:jc w:val="center"/>
        <w:tblLayout w:type="fixed"/>
        <w:tblCellMar>
          <w:left w:w="0" w:type="dxa"/>
          <w:right w:w="0" w:type="dxa"/>
        </w:tblCellMar>
        <w:tblLook w:val="04A0" w:firstRow="1" w:lastRow="0" w:firstColumn="1" w:lastColumn="0" w:noHBand="0" w:noVBand="1"/>
      </w:tblPr>
      <w:tblGrid>
        <w:gridCol w:w="1422"/>
        <w:gridCol w:w="1697"/>
        <w:gridCol w:w="2540"/>
        <w:gridCol w:w="3270"/>
        <w:gridCol w:w="760"/>
        <w:gridCol w:w="522"/>
      </w:tblGrid>
      <w:tr w:rsidR="002E017E">
        <w:trPr>
          <w:trHeight w:val="390"/>
          <w:jc w:val="center"/>
        </w:trPr>
        <w:tc>
          <w:tcPr>
            <w:tcW w:w="1422" w:type="dxa"/>
            <w:tcBorders>
              <w:top w:val="nil"/>
              <w:left w:val="nil"/>
              <w:bottom w:val="nil"/>
              <w:right w:val="nil"/>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4"/>
              </w:rPr>
            </w:pPr>
            <w:r>
              <w:rPr>
                <w:rFonts w:ascii="宋体" w:hAnsi="宋体" w:cs="宋体" w:hint="eastAsia"/>
                <w:color w:val="000000" w:themeColor="text1"/>
                <w:kern w:val="0"/>
                <w:sz w:val="24"/>
                <w:lang w:bidi="ar"/>
              </w:rPr>
              <w:t>中心名称：</w:t>
            </w:r>
          </w:p>
        </w:tc>
        <w:tc>
          <w:tcPr>
            <w:tcW w:w="1697" w:type="dxa"/>
            <w:tcBorders>
              <w:top w:val="nil"/>
              <w:left w:val="nil"/>
              <w:bottom w:val="nil"/>
              <w:right w:val="nil"/>
            </w:tcBorders>
            <w:tcMar>
              <w:top w:w="12" w:type="dxa"/>
              <w:left w:w="12" w:type="dxa"/>
              <w:right w:w="12" w:type="dxa"/>
            </w:tcMar>
            <w:vAlign w:val="center"/>
          </w:tcPr>
          <w:p w:rsidR="002E017E" w:rsidRDefault="002E017E">
            <w:pPr>
              <w:snapToGrid w:val="0"/>
              <w:jc w:val="center"/>
              <w:rPr>
                <w:rFonts w:ascii="宋体" w:cs="宋体"/>
                <w:color w:val="000000" w:themeColor="text1"/>
                <w:sz w:val="24"/>
              </w:rPr>
            </w:pPr>
          </w:p>
        </w:tc>
        <w:tc>
          <w:tcPr>
            <w:tcW w:w="2540" w:type="dxa"/>
            <w:tcBorders>
              <w:top w:val="nil"/>
              <w:left w:val="nil"/>
              <w:bottom w:val="nil"/>
              <w:right w:val="nil"/>
            </w:tcBorders>
            <w:tcMar>
              <w:top w:w="12" w:type="dxa"/>
              <w:left w:w="12" w:type="dxa"/>
              <w:right w:w="12" w:type="dxa"/>
            </w:tcMar>
            <w:vAlign w:val="center"/>
          </w:tcPr>
          <w:p w:rsidR="002E017E" w:rsidRDefault="002E017E">
            <w:pPr>
              <w:snapToGrid w:val="0"/>
              <w:jc w:val="center"/>
              <w:rPr>
                <w:rFonts w:ascii="宋体" w:cs="宋体"/>
                <w:color w:val="000000" w:themeColor="text1"/>
                <w:sz w:val="24"/>
              </w:rPr>
            </w:pPr>
          </w:p>
        </w:tc>
        <w:tc>
          <w:tcPr>
            <w:tcW w:w="3270" w:type="dxa"/>
            <w:tcBorders>
              <w:top w:val="nil"/>
              <w:left w:val="nil"/>
              <w:bottom w:val="nil"/>
              <w:right w:val="nil"/>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4"/>
              </w:rPr>
            </w:pPr>
            <w:r>
              <w:rPr>
                <w:rFonts w:ascii="宋体" w:hAnsi="宋体" w:cs="宋体" w:hint="eastAsia"/>
                <w:color w:val="000000" w:themeColor="text1"/>
                <w:kern w:val="0"/>
                <w:sz w:val="24"/>
                <w:lang w:bidi="ar"/>
              </w:rPr>
              <w:t>依托单位：</w:t>
            </w:r>
          </w:p>
        </w:tc>
        <w:tc>
          <w:tcPr>
            <w:tcW w:w="760" w:type="dxa"/>
            <w:tcBorders>
              <w:top w:val="nil"/>
              <w:left w:val="nil"/>
              <w:bottom w:val="nil"/>
              <w:right w:val="nil"/>
            </w:tcBorders>
            <w:tcMar>
              <w:top w:w="12" w:type="dxa"/>
              <w:left w:w="12" w:type="dxa"/>
              <w:right w:w="12" w:type="dxa"/>
            </w:tcMar>
            <w:vAlign w:val="center"/>
          </w:tcPr>
          <w:p w:rsidR="002E017E" w:rsidRDefault="002E017E">
            <w:pPr>
              <w:snapToGrid w:val="0"/>
              <w:jc w:val="center"/>
              <w:rPr>
                <w:rFonts w:ascii="宋体" w:cs="宋体"/>
                <w:color w:val="000000" w:themeColor="text1"/>
                <w:sz w:val="24"/>
              </w:rPr>
            </w:pPr>
          </w:p>
        </w:tc>
        <w:tc>
          <w:tcPr>
            <w:tcW w:w="522" w:type="dxa"/>
            <w:tcBorders>
              <w:top w:val="nil"/>
              <w:left w:val="nil"/>
              <w:bottom w:val="nil"/>
              <w:right w:val="nil"/>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457"/>
          <w:jc w:val="center"/>
        </w:trPr>
        <w:tc>
          <w:tcPr>
            <w:tcW w:w="14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b/>
                <w:color w:val="000000" w:themeColor="text1"/>
                <w:sz w:val="22"/>
              </w:rPr>
            </w:pPr>
            <w:r>
              <w:rPr>
                <w:rFonts w:ascii="宋体" w:hAnsi="宋体" w:cs="宋体" w:hint="eastAsia"/>
                <w:b/>
                <w:color w:val="000000" w:themeColor="text1"/>
                <w:kern w:val="0"/>
                <w:sz w:val="22"/>
                <w:lang w:bidi="ar"/>
              </w:rPr>
              <w:t>一级指标</w:t>
            </w:r>
          </w:p>
        </w:tc>
        <w:tc>
          <w:tcPr>
            <w:tcW w:w="16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b/>
                <w:color w:val="000000" w:themeColor="text1"/>
                <w:sz w:val="22"/>
              </w:rPr>
            </w:pPr>
            <w:r>
              <w:rPr>
                <w:rFonts w:ascii="宋体" w:hAnsi="宋体" w:cs="宋体" w:hint="eastAsia"/>
                <w:b/>
                <w:color w:val="000000" w:themeColor="text1"/>
                <w:kern w:val="0"/>
                <w:sz w:val="22"/>
                <w:lang w:bidi="ar"/>
              </w:rPr>
              <w:t>二级指标</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b/>
                <w:color w:val="000000" w:themeColor="text1"/>
                <w:sz w:val="22"/>
              </w:rPr>
            </w:pPr>
            <w:r>
              <w:rPr>
                <w:rFonts w:ascii="宋体" w:hAnsi="宋体" w:cs="宋体" w:hint="eastAsia"/>
                <w:b/>
                <w:color w:val="000000" w:themeColor="text1"/>
                <w:kern w:val="0"/>
                <w:sz w:val="22"/>
                <w:lang w:bidi="ar"/>
              </w:rPr>
              <w:t>三级指标</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b/>
                <w:color w:val="000000" w:themeColor="text1"/>
                <w:sz w:val="22"/>
              </w:rPr>
            </w:pPr>
            <w:r>
              <w:rPr>
                <w:rFonts w:ascii="宋体" w:hAnsi="宋体" w:cs="宋体" w:hint="eastAsia"/>
                <w:b/>
                <w:color w:val="000000" w:themeColor="text1"/>
                <w:kern w:val="0"/>
                <w:sz w:val="22"/>
                <w:lang w:bidi="ar"/>
              </w:rPr>
              <w:t>说明</w:t>
            </w:r>
          </w:p>
        </w:tc>
        <w:tc>
          <w:tcPr>
            <w:tcW w:w="7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b/>
                <w:color w:val="000000" w:themeColor="text1"/>
                <w:sz w:val="22"/>
              </w:rPr>
            </w:pPr>
            <w:r>
              <w:rPr>
                <w:rFonts w:ascii="宋体" w:hAnsi="宋体" w:cs="宋体" w:hint="eastAsia"/>
                <w:b/>
                <w:color w:val="000000" w:themeColor="text1"/>
                <w:kern w:val="0"/>
                <w:sz w:val="22"/>
                <w:lang w:bidi="ar"/>
              </w:rPr>
              <w:t>指标值</w:t>
            </w:r>
          </w:p>
        </w:tc>
        <w:tc>
          <w:tcPr>
            <w:tcW w:w="5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b/>
                <w:color w:val="000000" w:themeColor="text1"/>
                <w:sz w:val="22"/>
              </w:rPr>
            </w:pPr>
            <w:r>
              <w:rPr>
                <w:rFonts w:ascii="宋体" w:hAnsi="宋体" w:cs="宋体" w:hint="eastAsia"/>
                <w:b/>
                <w:color w:val="000000" w:themeColor="text1"/>
                <w:kern w:val="0"/>
                <w:sz w:val="22"/>
                <w:lang w:bidi="ar"/>
              </w:rPr>
              <w:t>得分</w:t>
            </w:r>
          </w:p>
        </w:tc>
      </w:tr>
      <w:tr w:rsidR="002E017E">
        <w:trPr>
          <w:trHeight w:val="576"/>
          <w:jc w:val="center"/>
        </w:trPr>
        <w:tc>
          <w:tcPr>
            <w:tcW w:w="14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基础条件和管理水平</w:t>
            </w:r>
            <w:r>
              <w:rPr>
                <w:rFonts w:ascii="宋体" w:cs="宋体"/>
                <w:color w:val="000000" w:themeColor="text1"/>
                <w:kern w:val="0"/>
                <w:sz w:val="22"/>
                <w:lang w:bidi="ar"/>
              </w:rPr>
              <w:br/>
            </w:r>
            <w:r>
              <w:rPr>
                <w:rFonts w:ascii="宋体" w:hAnsi="宋体" w:cs="宋体" w:hint="eastAsia"/>
                <w:color w:val="000000" w:themeColor="text1"/>
                <w:kern w:val="0"/>
                <w:sz w:val="22"/>
                <w:lang w:bidi="ar"/>
              </w:rPr>
              <w:t>（满分</w:t>
            </w:r>
            <w:r>
              <w:rPr>
                <w:rFonts w:ascii="宋体" w:hAnsi="宋体" w:cs="宋体"/>
                <w:color w:val="000000" w:themeColor="text1"/>
                <w:kern w:val="0"/>
                <w:sz w:val="22"/>
                <w:lang w:bidi="ar"/>
              </w:rPr>
              <w:t>15</w:t>
            </w:r>
            <w:r>
              <w:rPr>
                <w:rFonts w:ascii="宋体" w:hAnsi="宋体" w:cs="宋体" w:hint="eastAsia"/>
                <w:color w:val="000000" w:themeColor="text1"/>
                <w:kern w:val="0"/>
                <w:sz w:val="22"/>
                <w:lang w:bidi="ar"/>
              </w:rPr>
              <w:t>分）</w:t>
            </w: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科研场地</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科研用房面积</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分×（实际面积</w:t>
            </w:r>
            <w:r>
              <w:rPr>
                <w:rFonts w:ascii="宋体" w:hAnsi="宋体" w:cs="宋体"/>
                <w:color w:val="000000" w:themeColor="text1"/>
                <w:kern w:val="0"/>
                <w:sz w:val="22"/>
                <w:lang w:bidi="ar"/>
              </w:rPr>
              <w:t>/4000</w:t>
            </w:r>
            <w:r>
              <w:rPr>
                <w:rFonts w:ascii="宋体" w:hAnsi="宋体" w:cs="宋体" w:hint="eastAsia"/>
                <w:color w:val="000000" w:themeColor="text1"/>
                <w:kern w:val="0"/>
                <w:sz w:val="22"/>
                <w:lang w:bidi="ar"/>
              </w:rPr>
              <w:t>平方米）</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4</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中试基地个数</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0.5</w:t>
            </w:r>
            <w:r>
              <w:rPr>
                <w:rFonts w:ascii="宋体" w:hAnsi="宋体" w:cs="宋体" w:hint="eastAsia"/>
                <w:color w:val="000000" w:themeColor="text1"/>
                <w:kern w:val="0"/>
                <w:sz w:val="22"/>
                <w:lang w:bidi="ar"/>
              </w:rPr>
              <w:t>分×个数</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仪器设备</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2E017E" w:rsidRDefault="00AB3E6F">
            <w:pPr>
              <w:widowControl/>
              <w:snapToGrid w:val="0"/>
              <w:jc w:val="left"/>
              <w:textAlignment w:val="bottom"/>
              <w:rPr>
                <w:rFonts w:ascii="宋体" w:cs="宋体"/>
                <w:color w:val="000000" w:themeColor="text1"/>
                <w:sz w:val="22"/>
              </w:rPr>
            </w:pPr>
            <w:r>
              <w:rPr>
                <w:rFonts w:ascii="宋体" w:hAnsi="宋体" w:cs="宋体" w:hint="eastAsia"/>
                <w:color w:val="000000" w:themeColor="text1"/>
                <w:kern w:val="0"/>
                <w:sz w:val="22"/>
                <w:lang w:bidi="ar"/>
              </w:rPr>
              <w:t>用于科研的仪器、设备原值（万元）</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2</w:t>
            </w:r>
            <w:r>
              <w:rPr>
                <w:rFonts w:ascii="宋体" w:hAnsi="宋体" w:cs="宋体" w:hint="eastAsia"/>
                <w:color w:val="000000" w:themeColor="text1"/>
                <w:kern w:val="0"/>
                <w:sz w:val="22"/>
                <w:lang w:bidi="ar"/>
              </w:rPr>
              <w:t>分×（原值</w:t>
            </w:r>
            <w:r>
              <w:rPr>
                <w:rFonts w:ascii="宋体" w:hAnsi="宋体" w:cs="宋体"/>
                <w:color w:val="000000" w:themeColor="text1"/>
                <w:kern w:val="0"/>
                <w:sz w:val="22"/>
                <w:lang w:bidi="ar"/>
              </w:rPr>
              <w:t>/3000</w:t>
            </w:r>
            <w:r>
              <w:rPr>
                <w:rFonts w:ascii="宋体" w:hAnsi="宋体" w:cs="宋体" w:hint="eastAsia"/>
                <w:color w:val="000000" w:themeColor="text1"/>
                <w:kern w:val="0"/>
                <w:sz w:val="22"/>
                <w:lang w:bidi="ar"/>
              </w:rPr>
              <w:t>万元）</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4</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576"/>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单台套原值</w:t>
            </w:r>
            <w:r>
              <w:rPr>
                <w:rFonts w:ascii="宋体" w:hAnsi="宋体" w:cs="宋体"/>
                <w:color w:val="000000" w:themeColor="text1"/>
                <w:kern w:val="0"/>
                <w:sz w:val="22"/>
                <w:lang w:bidi="ar"/>
              </w:rPr>
              <w:t>50</w:t>
            </w:r>
            <w:r>
              <w:rPr>
                <w:rFonts w:ascii="宋体" w:hAnsi="宋体" w:cs="宋体" w:hint="eastAsia"/>
                <w:color w:val="000000" w:themeColor="text1"/>
                <w:kern w:val="0"/>
                <w:sz w:val="22"/>
                <w:lang w:bidi="ar"/>
              </w:rPr>
              <w:t>万元以上仪器、设备数量</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0.1</w:t>
            </w:r>
            <w:r>
              <w:rPr>
                <w:rFonts w:ascii="宋体" w:hAnsi="宋体" w:cs="宋体" w:hint="eastAsia"/>
                <w:color w:val="000000" w:themeColor="text1"/>
                <w:kern w:val="0"/>
                <w:sz w:val="22"/>
                <w:lang w:bidi="ar"/>
              </w:rPr>
              <w:t>分×数量</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管理制度</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独立法人机构</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4</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成立理事会、学术委员会</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sz w:val="22"/>
              </w:rPr>
              <w:t>管理制度健全</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制定了各项管理制度得</w:t>
            </w: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市级技术创新中心</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17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研发投入</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2E017E" w:rsidRDefault="00AB3E6F">
            <w:pPr>
              <w:widowControl/>
              <w:snapToGrid w:val="0"/>
              <w:jc w:val="left"/>
              <w:textAlignment w:val="bottom"/>
              <w:rPr>
                <w:rFonts w:ascii="宋体" w:cs="宋体"/>
                <w:color w:val="000000" w:themeColor="text1"/>
                <w:sz w:val="22"/>
              </w:rPr>
            </w:pPr>
            <w:r>
              <w:rPr>
                <w:rFonts w:ascii="宋体" w:hAnsi="宋体" w:cs="宋体" w:hint="eastAsia"/>
                <w:color w:val="000000" w:themeColor="text1"/>
                <w:kern w:val="0"/>
                <w:sz w:val="22"/>
                <w:lang w:bidi="ar"/>
              </w:rPr>
              <w:t>研发经费投入额度</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分×（投入</w:t>
            </w:r>
            <w:r>
              <w:rPr>
                <w:rFonts w:ascii="宋体" w:hAnsi="宋体" w:cs="宋体"/>
                <w:color w:val="000000" w:themeColor="text1"/>
                <w:kern w:val="0"/>
                <w:sz w:val="22"/>
                <w:lang w:bidi="ar"/>
              </w:rPr>
              <w:t>/1000</w:t>
            </w:r>
            <w:r>
              <w:rPr>
                <w:rFonts w:ascii="宋体" w:hAnsi="宋体" w:cs="宋体" w:hint="eastAsia"/>
                <w:color w:val="000000" w:themeColor="text1"/>
                <w:kern w:val="0"/>
                <w:sz w:val="22"/>
                <w:lang w:bidi="ar"/>
              </w:rPr>
              <w:t>万元）</w:t>
            </w:r>
          </w:p>
        </w:tc>
        <w:tc>
          <w:tcPr>
            <w:tcW w:w="7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3</w:t>
            </w:r>
          </w:p>
        </w:tc>
        <w:tc>
          <w:tcPr>
            <w:tcW w:w="5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技术研发</w:t>
            </w:r>
            <w:r>
              <w:rPr>
                <w:rFonts w:ascii="宋体" w:cs="宋体"/>
                <w:color w:val="000000" w:themeColor="text1"/>
                <w:kern w:val="0"/>
                <w:sz w:val="22"/>
                <w:lang w:bidi="ar"/>
              </w:rPr>
              <w:br/>
            </w:r>
            <w:r>
              <w:rPr>
                <w:rFonts w:ascii="宋体" w:hAnsi="宋体" w:cs="宋体" w:hint="eastAsia"/>
                <w:color w:val="000000" w:themeColor="text1"/>
                <w:kern w:val="0"/>
                <w:sz w:val="22"/>
                <w:lang w:bidi="ar"/>
              </w:rPr>
              <w:t>（满分</w:t>
            </w:r>
            <w:r>
              <w:rPr>
                <w:rFonts w:ascii="宋体" w:hAnsi="宋体" w:cs="宋体"/>
                <w:color w:val="000000" w:themeColor="text1"/>
                <w:kern w:val="0"/>
                <w:sz w:val="22"/>
                <w:lang w:bidi="ar"/>
              </w:rPr>
              <w:t>20</w:t>
            </w:r>
            <w:r>
              <w:rPr>
                <w:rFonts w:ascii="宋体" w:hAnsi="宋体" w:cs="宋体" w:hint="eastAsia"/>
                <w:color w:val="000000" w:themeColor="text1"/>
                <w:kern w:val="0"/>
                <w:sz w:val="22"/>
                <w:lang w:bidi="ar"/>
              </w:rPr>
              <w:t>分）</w:t>
            </w: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承担国家级项目</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重大项目</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3</w:t>
            </w:r>
            <w:r>
              <w:rPr>
                <w:rFonts w:ascii="宋体" w:hAnsi="宋体" w:cs="宋体" w:hint="eastAsia"/>
                <w:color w:val="000000" w:themeColor="text1"/>
                <w:kern w:val="0"/>
                <w:sz w:val="22"/>
                <w:lang w:bidi="ar"/>
              </w:rPr>
              <w:t>分×主持数量</w:t>
            </w: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分×参与数量</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10</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一般项目</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分×主持数量</w:t>
            </w:r>
            <w:r>
              <w:rPr>
                <w:rFonts w:ascii="宋体" w:hAnsi="宋体" w:cs="宋体"/>
                <w:color w:val="000000" w:themeColor="text1"/>
                <w:kern w:val="0"/>
                <w:sz w:val="22"/>
                <w:lang w:bidi="ar"/>
              </w:rPr>
              <w:t>+0.5</w:t>
            </w:r>
            <w:r>
              <w:rPr>
                <w:rFonts w:ascii="宋体" w:hAnsi="宋体" w:cs="宋体" w:hint="eastAsia"/>
                <w:color w:val="000000" w:themeColor="text1"/>
                <w:kern w:val="0"/>
                <w:sz w:val="22"/>
                <w:lang w:bidi="ar"/>
              </w:rPr>
              <w:t>分×参与数量</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承担省部级项目</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重大项目</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分×主持数量</w:t>
            </w:r>
            <w:r>
              <w:rPr>
                <w:rFonts w:ascii="宋体" w:hAnsi="宋体" w:cs="宋体"/>
                <w:color w:val="000000" w:themeColor="text1"/>
                <w:kern w:val="0"/>
                <w:sz w:val="22"/>
                <w:lang w:bidi="ar"/>
              </w:rPr>
              <w:t>+0.5</w:t>
            </w:r>
            <w:r>
              <w:rPr>
                <w:rFonts w:ascii="宋体" w:hAnsi="宋体" w:cs="宋体" w:hint="eastAsia"/>
                <w:color w:val="000000" w:themeColor="text1"/>
                <w:kern w:val="0"/>
                <w:sz w:val="22"/>
                <w:lang w:bidi="ar"/>
              </w:rPr>
              <w:t>分×参与数量</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6</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一般项目</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0.5</w:t>
            </w:r>
            <w:r>
              <w:rPr>
                <w:rFonts w:ascii="宋体" w:hAnsi="宋体" w:cs="宋体" w:hint="eastAsia"/>
                <w:color w:val="000000" w:themeColor="text1"/>
                <w:kern w:val="0"/>
                <w:sz w:val="22"/>
                <w:lang w:bidi="ar"/>
              </w:rPr>
              <w:t>分×主持数量</w:t>
            </w:r>
            <w:r>
              <w:rPr>
                <w:rFonts w:ascii="宋体" w:hAnsi="宋体" w:cs="宋体"/>
                <w:color w:val="000000" w:themeColor="text1"/>
                <w:kern w:val="0"/>
                <w:sz w:val="22"/>
                <w:lang w:bidi="ar"/>
              </w:rPr>
              <w:t>+0.1</w:t>
            </w:r>
            <w:r>
              <w:rPr>
                <w:rFonts w:ascii="宋体" w:hAnsi="宋体" w:cs="宋体" w:hint="eastAsia"/>
                <w:color w:val="000000" w:themeColor="text1"/>
                <w:kern w:val="0"/>
                <w:sz w:val="22"/>
                <w:lang w:bidi="ar"/>
              </w:rPr>
              <w:t>分×参与数量</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90"/>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自主研发</w:t>
            </w:r>
            <w:r>
              <w:rPr>
                <w:rFonts w:ascii="宋体" w:hAnsi="宋体" w:cs="宋体"/>
                <w:color w:val="000000" w:themeColor="text1"/>
                <w:kern w:val="0"/>
                <w:sz w:val="22"/>
                <w:lang w:bidi="ar"/>
              </w:rPr>
              <w:t>/</w:t>
            </w:r>
            <w:r>
              <w:rPr>
                <w:rFonts w:ascii="宋体" w:hAnsi="宋体" w:cs="宋体" w:hint="eastAsia"/>
                <w:color w:val="000000" w:themeColor="text1"/>
                <w:kern w:val="0"/>
                <w:sz w:val="22"/>
                <w:lang w:bidi="ar"/>
              </w:rPr>
              <w:t>承担委托项目</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项目数量</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0.5</w:t>
            </w:r>
            <w:r>
              <w:rPr>
                <w:rFonts w:ascii="宋体" w:hAnsi="宋体" w:cs="宋体" w:hint="eastAsia"/>
                <w:color w:val="000000" w:themeColor="text1"/>
                <w:kern w:val="0"/>
                <w:sz w:val="22"/>
                <w:lang w:bidi="ar"/>
              </w:rPr>
              <w:t>分×数量</w:t>
            </w:r>
          </w:p>
        </w:tc>
        <w:tc>
          <w:tcPr>
            <w:tcW w:w="7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4</w:t>
            </w:r>
          </w:p>
        </w:tc>
        <w:tc>
          <w:tcPr>
            <w:tcW w:w="5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widowControl/>
              <w:snapToGrid w:val="0"/>
              <w:jc w:val="center"/>
              <w:textAlignment w:val="center"/>
              <w:rPr>
                <w:rFonts w:ascii="宋体" w:hAnsi="宋体" w:cs="宋体"/>
                <w:color w:val="000000" w:themeColor="text1"/>
                <w:kern w:val="0"/>
                <w:sz w:val="22"/>
                <w:lang w:bidi="ar"/>
              </w:rPr>
            </w:pPr>
          </w:p>
          <w:p w:rsidR="002E017E" w:rsidRDefault="002E017E">
            <w:pPr>
              <w:widowControl/>
              <w:snapToGrid w:val="0"/>
              <w:jc w:val="center"/>
              <w:textAlignment w:val="center"/>
              <w:rPr>
                <w:rFonts w:ascii="宋体" w:hAnsi="宋体" w:cs="宋体"/>
                <w:color w:val="000000" w:themeColor="text1"/>
                <w:kern w:val="0"/>
                <w:sz w:val="22"/>
                <w:lang w:bidi="ar"/>
              </w:rPr>
            </w:pPr>
          </w:p>
          <w:p w:rsidR="002E017E" w:rsidRDefault="002E017E">
            <w:pPr>
              <w:widowControl/>
              <w:snapToGrid w:val="0"/>
              <w:jc w:val="center"/>
              <w:textAlignment w:val="center"/>
              <w:rPr>
                <w:rFonts w:ascii="宋体" w:hAnsi="宋体" w:cs="宋体"/>
                <w:color w:val="000000" w:themeColor="text1"/>
                <w:kern w:val="0"/>
                <w:sz w:val="22"/>
                <w:lang w:bidi="ar"/>
              </w:rPr>
            </w:pPr>
          </w:p>
          <w:p w:rsidR="002E017E" w:rsidRDefault="002E017E">
            <w:pPr>
              <w:widowControl/>
              <w:snapToGrid w:val="0"/>
              <w:jc w:val="center"/>
              <w:textAlignment w:val="center"/>
              <w:rPr>
                <w:rFonts w:ascii="宋体" w:hAnsi="宋体" w:cs="宋体"/>
                <w:color w:val="000000" w:themeColor="text1"/>
                <w:kern w:val="0"/>
                <w:sz w:val="22"/>
                <w:lang w:bidi="ar"/>
              </w:rPr>
            </w:pPr>
          </w:p>
          <w:p w:rsidR="002E017E" w:rsidRDefault="002E017E">
            <w:pPr>
              <w:widowControl/>
              <w:snapToGrid w:val="0"/>
              <w:jc w:val="center"/>
              <w:textAlignment w:val="center"/>
              <w:rPr>
                <w:rFonts w:ascii="宋体" w:hAnsi="宋体" w:cs="宋体"/>
                <w:color w:val="000000" w:themeColor="text1"/>
                <w:kern w:val="0"/>
                <w:sz w:val="22"/>
                <w:lang w:bidi="ar"/>
              </w:rPr>
            </w:pPr>
          </w:p>
          <w:p w:rsidR="002E017E" w:rsidRDefault="002E017E">
            <w:pPr>
              <w:widowControl/>
              <w:snapToGrid w:val="0"/>
              <w:jc w:val="center"/>
              <w:textAlignment w:val="center"/>
              <w:rPr>
                <w:rFonts w:ascii="宋体" w:hAnsi="宋体" w:cs="宋体"/>
                <w:color w:val="000000" w:themeColor="text1"/>
                <w:kern w:val="0"/>
                <w:sz w:val="22"/>
                <w:lang w:bidi="ar"/>
              </w:rPr>
            </w:pPr>
          </w:p>
          <w:p w:rsidR="002E017E" w:rsidRDefault="002E017E">
            <w:pPr>
              <w:widowControl/>
              <w:snapToGrid w:val="0"/>
              <w:jc w:val="center"/>
              <w:textAlignment w:val="center"/>
              <w:rPr>
                <w:rFonts w:ascii="宋体" w:hAnsi="宋体" w:cs="宋体"/>
                <w:color w:val="000000" w:themeColor="text1"/>
                <w:kern w:val="0"/>
                <w:sz w:val="22"/>
                <w:lang w:bidi="ar"/>
              </w:rPr>
            </w:pPr>
          </w:p>
          <w:p w:rsidR="002E017E" w:rsidRDefault="002E017E">
            <w:pPr>
              <w:widowControl/>
              <w:snapToGrid w:val="0"/>
              <w:jc w:val="center"/>
              <w:textAlignment w:val="center"/>
              <w:rPr>
                <w:rFonts w:ascii="宋体" w:hAnsi="宋体" w:cs="宋体"/>
                <w:color w:val="000000" w:themeColor="text1"/>
                <w:kern w:val="0"/>
                <w:sz w:val="22"/>
                <w:lang w:bidi="ar"/>
              </w:rPr>
            </w:pPr>
          </w:p>
          <w:p w:rsidR="002E017E" w:rsidRDefault="00AB3E6F">
            <w:pPr>
              <w:widowControl/>
              <w:snapToGrid w:val="0"/>
              <w:jc w:val="center"/>
              <w:textAlignment w:val="center"/>
              <w:rPr>
                <w:rFonts w:ascii="宋体" w:hAnsi="宋体" w:cs="宋体"/>
                <w:color w:val="000000" w:themeColor="text1"/>
                <w:kern w:val="0"/>
                <w:sz w:val="22"/>
                <w:lang w:bidi="ar"/>
              </w:rPr>
            </w:pPr>
            <w:r>
              <w:rPr>
                <w:rFonts w:ascii="宋体" w:hAnsi="宋体" w:cs="宋体" w:hint="eastAsia"/>
                <w:color w:val="000000" w:themeColor="text1"/>
                <w:kern w:val="0"/>
                <w:sz w:val="22"/>
                <w:lang w:bidi="ar"/>
              </w:rPr>
              <w:t>产出</w:t>
            </w:r>
            <w:r>
              <w:rPr>
                <w:rFonts w:ascii="宋体" w:hAnsi="宋体" w:cs="宋体"/>
                <w:color w:val="000000" w:themeColor="text1"/>
                <w:kern w:val="0"/>
                <w:sz w:val="22"/>
                <w:lang w:bidi="ar"/>
              </w:rPr>
              <w:br/>
            </w:r>
            <w:r>
              <w:rPr>
                <w:rFonts w:ascii="宋体" w:hAnsi="宋体" w:cs="宋体" w:hint="eastAsia"/>
                <w:color w:val="000000" w:themeColor="text1"/>
                <w:kern w:val="0"/>
                <w:sz w:val="22"/>
                <w:lang w:bidi="ar"/>
              </w:rPr>
              <w:t>（满分</w:t>
            </w:r>
            <w:r>
              <w:rPr>
                <w:rFonts w:ascii="宋体" w:hAnsi="宋体" w:cs="宋体"/>
                <w:color w:val="000000" w:themeColor="text1"/>
                <w:kern w:val="0"/>
                <w:sz w:val="22"/>
                <w:lang w:bidi="ar"/>
              </w:rPr>
              <w:t>50</w:t>
            </w:r>
            <w:r>
              <w:rPr>
                <w:rFonts w:ascii="宋体" w:hAnsi="宋体" w:cs="宋体" w:hint="eastAsia"/>
                <w:color w:val="000000" w:themeColor="text1"/>
                <w:kern w:val="0"/>
                <w:sz w:val="22"/>
                <w:lang w:bidi="ar"/>
              </w:rPr>
              <w:t>分）</w:t>
            </w: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关键技术研发</w:t>
            </w:r>
            <w:r>
              <w:rPr>
                <w:rFonts w:ascii="宋体" w:cs="宋体"/>
                <w:color w:val="000000" w:themeColor="text1"/>
                <w:kern w:val="0"/>
                <w:sz w:val="22"/>
                <w:lang w:bidi="ar"/>
              </w:rPr>
              <w:br/>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解决产业“卡脖子”技术问题</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10</w:t>
            </w:r>
            <w:r>
              <w:rPr>
                <w:rFonts w:ascii="宋体" w:hAnsi="宋体" w:cs="宋体" w:hint="eastAsia"/>
                <w:color w:val="000000" w:themeColor="text1"/>
                <w:kern w:val="0"/>
                <w:sz w:val="22"/>
                <w:lang w:bidi="ar"/>
              </w:rPr>
              <w:t>分×数量</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20</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形成行业重大共性关键技术</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5</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形成行业前沿技术</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3</w:t>
            </w:r>
            <w:r>
              <w:rPr>
                <w:rFonts w:ascii="宋体" w:hAnsi="宋体" w:cs="宋体" w:hint="eastAsia"/>
                <w:color w:val="000000" w:themeColor="text1"/>
                <w:kern w:val="0"/>
                <w:sz w:val="22"/>
                <w:lang w:bidi="ar"/>
              </w:rPr>
              <w:t>分×数量</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知识产权</w:t>
            </w:r>
            <w:r>
              <w:rPr>
                <w:rFonts w:ascii="宋体" w:cs="宋体"/>
                <w:color w:val="000000" w:themeColor="text1"/>
                <w:kern w:val="0"/>
                <w:sz w:val="22"/>
                <w:lang w:bidi="ar"/>
              </w:rPr>
              <w:br/>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申请、获得</w:t>
            </w:r>
            <w:r>
              <w:rPr>
                <w:rFonts w:ascii="宋体" w:hAnsi="宋体" w:cs="宋体"/>
                <w:color w:val="000000" w:themeColor="text1"/>
                <w:kern w:val="0"/>
                <w:sz w:val="22"/>
                <w:lang w:bidi="ar"/>
              </w:rPr>
              <w:t>PCT</w:t>
            </w:r>
            <w:r>
              <w:rPr>
                <w:rFonts w:ascii="宋体" w:hAnsi="宋体" w:cs="宋体" w:hint="eastAsia"/>
                <w:color w:val="000000" w:themeColor="text1"/>
                <w:kern w:val="0"/>
                <w:sz w:val="22"/>
                <w:lang w:bidi="ar"/>
              </w:rPr>
              <w:t>专利</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2</w:t>
            </w:r>
            <w:r>
              <w:rPr>
                <w:rFonts w:ascii="宋体" w:hAnsi="宋体" w:cs="宋体" w:hint="eastAsia"/>
                <w:color w:val="000000" w:themeColor="text1"/>
                <w:kern w:val="0"/>
                <w:sz w:val="22"/>
                <w:lang w:bidi="ar"/>
              </w:rPr>
              <w:t>分×数量</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5</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576"/>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申请、获得发明专利</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分×获得数量</w:t>
            </w:r>
            <w:r>
              <w:rPr>
                <w:rFonts w:ascii="宋体" w:hAnsi="宋体" w:cs="宋体"/>
                <w:color w:val="000000" w:themeColor="text1"/>
                <w:kern w:val="0"/>
                <w:sz w:val="22"/>
                <w:lang w:bidi="ar"/>
              </w:rPr>
              <w:t>+0.5</w:t>
            </w:r>
            <w:r>
              <w:rPr>
                <w:rFonts w:ascii="宋体" w:hAnsi="宋体" w:cs="宋体" w:hint="eastAsia"/>
                <w:color w:val="000000" w:themeColor="text1"/>
                <w:kern w:val="0"/>
                <w:sz w:val="22"/>
                <w:lang w:bidi="ar"/>
              </w:rPr>
              <w:t>分×申请数量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344"/>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国家标准、行业标准</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（主持</w:t>
            </w:r>
            <w:r>
              <w:rPr>
                <w:rFonts w:ascii="宋体" w:hAnsi="宋体" w:cs="宋体"/>
                <w:color w:val="000000" w:themeColor="text1"/>
                <w:kern w:val="0"/>
                <w:sz w:val="22"/>
                <w:lang w:bidi="ar"/>
              </w:rPr>
              <w:t>3</w:t>
            </w:r>
            <w:r>
              <w:rPr>
                <w:rFonts w:ascii="宋体" w:hAnsi="宋体" w:cs="宋体" w:hint="eastAsia"/>
                <w:color w:val="000000" w:themeColor="text1"/>
                <w:kern w:val="0"/>
                <w:sz w:val="22"/>
                <w:lang w:bidi="ar"/>
              </w:rPr>
              <w:t>分，参与</w:t>
            </w: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一类新药证书</w:t>
            </w:r>
            <w:r>
              <w:rPr>
                <w:rFonts w:ascii="宋体" w:hAnsi="宋体" w:cs="宋体"/>
                <w:color w:val="000000" w:themeColor="text1"/>
                <w:kern w:val="0"/>
                <w:sz w:val="22"/>
                <w:lang w:bidi="ar"/>
              </w:rPr>
              <w:t xml:space="preserve"> </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3</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动植物新品种</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2</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计算机软件著作权</w:t>
            </w:r>
            <w:r>
              <w:rPr>
                <w:rFonts w:ascii="宋体" w:hAnsi="宋体" w:cs="宋体"/>
                <w:color w:val="000000" w:themeColor="text1"/>
                <w:kern w:val="0"/>
                <w:sz w:val="22"/>
                <w:lang w:bidi="ar"/>
              </w:rPr>
              <w:t xml:space="preserve"> </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0.2</w:t>
            </w:r>
            <w:r>
              <w:rPr>
                <w:rFonts w:ascii="宋体" w:hAnsi="宋体" w:cs="宋体" w:hint="eastAsia"/>
                <w:color w:val="000000" w:themeColor="text1"/>
                <w:kern w:val="0"/>
                <w:sz w:val="22"/>
                <w:lang w:bidi="ar"/>
              </w:rPr>
              <w:t>分×数量</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576"/>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国家科技奖励</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最高奖</w:t>
            </w:r>
            <w:r>
              <w:rPr>
                <w:rFonts w:ascii="宋体" w:hAnsi="宋体" w:cs="宋体"/>
                <w:color w:val="000000" w:themeColor="text1"/>
                <w:kern w:val="0"/>
                <w:sz w:val="22"/>
                <w:lang w:bidi="ar"/>
              </w:rPr>
              <w:t>/</w:t>
            </w:r>
            <w:r>
              <w:rPr>
                <w:rFonts w:ascii="宋体" w:hAnsi="宋体" w:cs="宋体" w:hint="eastAsia"/>
                <w:color w:val="000000" w:themeColor="text1"/>
                <w:kern w:val="0"/>
                <w:sz w:val="22"/>
                <w:lang w:bidi="ar"/>
              </w:rPr>
              <w:t>一等奖</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（第一位次</w:t>
            </w:r>
            <w:r>
              <w:rPr>
                <w:rFonts w:ascii="宋体" w:hAnsi="宋体" w:cs="宋体"/>
                <w:color w:val="000000" w:themeColor="text1"/>
                <w:kern w:val="0"/>
                <w:sz w:val="22"/>
                <w:lang w:bidi="ar"/>
              </w:rPr>
              <w:t>10</w:t>
            </w:r>
            <w:r>
              <w:rPr>
                <w:rFonts w:ascii="宋体" w:hAnsi="宋体" w:cs="宋体" w:hint="eastAsia"/>
                <w:color w:val="000000" w:themeColor="text1"/>
                <w:kern w:val="0"/>
                <w:sz w:val="22"/>
                <w:lang w:bidi="ar"/>
              </w:rPr>
              <w:t>分，其他位次</w:t>
            </w:r>
            <w:r>
              <w:rPr>
                <w:rFonts w:ascii="宋体" w:hAnsi="宋体" w:cs="宋体"/>
                <w:color w:val="000000" w:themeColor="text1"/>
                <w:kern w:val="0"/>
                <w:sz w:val="22"/>
                <w:lang w:bidi="ar"/>
              </w:rPr>
              <w:t>3</w:t>
            </w:r>
            <w:r>
              <w:rPr>
                <w:rFonts w:ascii="宋体" w:hAnsi="宋体" w:cs="宋体" w:hint="eastAsia"/>
                <w:color w:val="000000" w:themeColor="text1"/>
                <w:kern w:val="0"/>
                <w:sz w:val="22"/>
                <w:lang w:bidi="ar"/>
              </w:rPr>
              <w:t>分）×数量</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10</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576"/>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二等奖</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（第一位次</w:t>
            </w:r>
            <w:r>
              <w:rPr>
                <w:rFonts w:ascii="宋体" w:hAnsi="宋体" w:cs="宋体"/>
                <w:color w:val="000000" w:themeColor="text1"/>
                <w:kern w:val="0"/>
                <w:sz w:val="22"/>
                <w:lang w:bidi="ar"/>
              </w:rPr>
              <w:t>5</w:t>
            </w:r>
            <w:r>
              <w:rPr>
                <w:rFonts w:ascii="宋体" w:hAnsi="宋体" w:cs="宋体" w:hint="eastAsia"/>
                <w:color w:val="000000" w:themeColor="text1"/>
                <w:kern w:val="0"/>
                <w:sz w:val="22"/>
                <w:lang w:bidi="ar"/>
              </w:rPr>
              <w:t>分，其他位次</w:t>
            </w:r>
            <w:r>
              <w:rPr>
                <w:rFonts w:ascii="宋体" w:hAnsi="宋体" w:cs="宋体"/>
                <w:color w:val="000000" w:themeColor="text1"/>
                <w:kern w:val="0"/>
                <w:sz w:val="22"/>
                <w:lang w:bidi="ar"/>
              </w:rPr>
              <w:t>2</w:t>
            </w:r>
            <w:r>
              <w:rPr>
                <w:rFonts w:ascii="宋体" w:hAnsi="宋体" w:cs="宋体" w:hint="eastAsia"/>
                <w:color w:val="000000" w:themeColor="text1"/>
                <w:kern w:val="0"/>
                <w:sz w:val="22"/>
                <w:lang w:bidi="ar"/>
              </w:rPr>
              <w:t>分）×数量</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5"/>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省级科技奖励</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最高奖</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5</w:t>
            </w:r>
            <w:r>
              <w:rPr>
                <w:rFonts w:ascii="宋体" w:hAnsi="宋体" w:cs="宋体" w:hint="eastAsia"/>
                <w:color w:val="000000" w:themeColor="text1"/>
                <w:kern w:val="0"/>
                <w:sz w:val="22"/>
                <w:lang w:bidi="ar"/>
              </w:rPr>
              <w:t>分×数量</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5</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576"/>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一等奖</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（第一位次</w:t>
            </w:r>
            <w:r>
              <w:rPr>
                <w:rFonts w:ascii="宋体" w:hAnsi="宋体" w:cs="宋体"/>
                <w:color w:val="000000" w:themeColor="text1"/>
                <w:kern w:val="0"/>
                <w:sz w:val="22"/>
                <w:lang w:bidi="ar"/>
              </w:rPr>
              <w:t>4</w:t>
            </w:r>
            <w:r>
              <w:rPr>
                <w:rFonts w:ascii="宋体" w:hAnsi="宋体" w:cs="宋体" w:hint="eastAsia"/>
                <w:color w:val="000000" w:themeColor="text1"/>
                <w:kern w:val="0"/>
                <w:sz w:val="22"/>
                <w:lang w:bidi="ar"/>
              </w:rPr>
              <w:t>分，其他位次</w:t>
            </w:r>
            <w:r>
              <w:rPr>
                <w:rFonts w:ascii="宋体" w:hAnsi="宋体" w:cs="宋体"/>
                <w:color w:val="000000" w:themeColor="text1"/>
                <w:kern w:val="0"/>
                <w:sz w:val="22"/>
                <w:lang w:bidi="ar"/>
              </w:rPr>
              <w:t>2</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576"/>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二等奖</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（第一位次</w:t>
            </w:r>
            <w:r>
              <w:rPr>
                <w:rFonts w:ascii="宋体" w:hAnsi="宋体" w:cs="宋体"/>
                <w:color w:val="000000" w:themeColor="text1"/>
                <w:kern w:val="0"/>
                <w:sz w:val="22"/>
                <w:lang w:bidi="ar"/>
              </w:rPr>
              <w:t>2</w:t>
            </w:r>
            <w:r>
              <w:rPr>
                <w:rFonts w:ascii="宋体" w:hAnsi="宋体" w:cs="宋体" w:hint="eastAsia"/>
                <w:color w:val="000000" w:themeColor="text1"/>
                <w:kern w:val="0"/>
                <w:sz w:val="22"/>
                <w:lang w:bidi="ar"/>
              </w:rPr>
              <w:t>分，其他位次</w:t>
            </w: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576"/>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三等奖</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（第一位次</w:t>
            </w: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分，其他位次</w:t>
            </w:r>
            <w:r>
              <w:rPr>
                <w:rFonts w:ascii="宋体" w:hAnsi="宋体" w:cs="宋体"/>
                <w:color w:val="000000" w:themeColor="text1"/>
                <w:kern w:val="0"/>
                <w:sz w:val="22"/>
                <w:lang w:bidi="ar"/>
              </w:rPr>
              <w:t>0.5</w:t>
            </w:r>
            <w:r>
              <w:rPr>
                <w:rFonts w:ascii="宋体" w:hAnsi="宋体" w:cs="宋体" w:hint="eastAsia"/>
                <w:color w:val="000000" w:themeColor="text1"/>
                <w:kern w:val="0"/>
                <w:sz w:val="22"/>
                <w:lang w:bidi="ar"/>
              </w:rPr>
              <w:t>分）×数量</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引进</w:t>
            </w:r>
            <w:r>
              <w:rPr>
                <w:rFonts w:ascii="宋体" w:hAnsi="宋体" w:cs="宋体"/>
                <w:color w:val="000000" w:themeColor="text1"/>
                <w:kern w:val="0"/>
                <w:sz w:val="22"/>
                <w:lang w:bidi="ar"/>
              </w:rPr>
              <w:t>/</w:t>
            </w:r>
            <w:r>
              <w:rPr>
                <w:rFonts w:ascii="宋体" w:hAnsi="宋体" w:cs="宋体" w:hint="eastAsia"/>
                <w:color w:val="000000" w:themeColor="text1"/>
                <w:kern w:val="0"/>
                <w:sz w:val="22"/>
                <w:lang w:bidi="ar"/>
              </w:rPr>
              <w:t>培养人才</w:t>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院士</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5</w:t>
            </w:r>
            <w:r>
              <w:rPr>
                <w:rFonts w:ascii="宋体" w:hAnsi="宋体" w:cs="宋体" w:hint="eastAsia"/>
                <w:color w:val="000000" w:themeColor="text1"/>
                <w:kern w:val="0"/>
                <w:sz w:val="22"/>
                <w:lang w:bidi="ar"/>
              </w:rPr>
              <w:t>分×数量</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10</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国家级人才</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3</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省级人才</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2</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科研人员数量</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分×（数量</w:t>
            </w:r>
            <w:r>
              <w:rPr>
                <w:rFonts w:ascii="宋体" w:hAnsi="宋体" w:cs="宋体"/>
                <w:color w:val="000000" w:themeColor="text1"/>
                <w:kern w:val="0"/>
                <w:sz w:val="22"/>
                <w:lang w:bidi="ar"/>
              </w:rPr>
              <w:t>/100</w:t>
            </w:r>
            <w:r>
              <w:rPr>
                <w:rFonts w:ascii="宋体" w:hAnsi="宋体" w:cs="宋体" w:hint="eastAsia"/>
                <w:color w:val="000000" w:themeColor="text1"/>
                <w:kern w:val="0"/>
                <w:sz w:val="22"/>
                <w:lang w:bidi="ar"/>
              </w:rPr>
              <w:t>）</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372"/>
          <w:jc w:val="center"/>
        </w:trPr>
        <w:tc>
          <w:tcPr>
            <w:tcW w:w="1422"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效益</w:t>
            </w:r>
            <w:r>
              <w:rPr>
                <w:rFonts w:ascii="宋体" w:cs="宋体"/>
                <w:color w:val="000000" w:themeColor="text1"/>
                <w:kern w:val="0"/>
                <w:sz w:val="22"/>
                <w:lang w:bidi="ar"/>
              </w:rPr>
              <w:br/>
            </w:r>
            <w:r>
              <w:rPr>
                <w:rFonts w:ascii="宋体" w:hAnsi="宋体" w:cs="宋体" w:hint="eastAsia"/>
                <w:color w:val="000000" w:themeColor="text1"/>
                <w:kern w:val="0"/>
                <w:sz w:val="22"/>
                <w:lang w:bidi="ar"/>
              </w:rPr>
              <w:t>（满分</w:t>
            </w:r>
            <w:r>
              <w:rPr>
                <w:rFonts w:ascii="宋体" w:hAnsi="宋体" w:cs="宋体"/>
                <w:color w:val="000000" w:themeColor="text1"/>
                <w:kern w:val="0"/>
                <w:sz w:val="22"/>
                <w:lang w:bidi="ar"/>
              </w:rPr>
              <w:t>15</w:t>
            </w:r>
            <w:r>
              <w:rPr>
                <w:rFonts w:ascii="宋体" w:hAnsi="宋体" w:cs="宋体" w:hint="eastAsia"/>
                <w:color w:val="000000" w:themeColor="text1"/>
                <w:kern w:val="0"/>
                <w:sz w:val="22"/>
                <w:lang w:bidi="ar"/>
              </w:rPr>
              <w:t>分）</w:t>
            </w:r>
          </w:p>
        </w:tc>
        <w:tc>
          <w:tcPr>
            <w:tcW w:w="1697" w:type="dxa"/>
            <w:vMerge w:val="restar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技术服务</w:t>
            </w:r>
            <w:r>
              <w:rPr>
                <w:rFonts w:ascii="宋体" w:cs="宋体"/>
                <w:color w:val="000000" w:themeColor="text1"/>
                <w:kern w:val="0"/>
                <w:sz w:val="22"/>
                <w:lang w:bidi="ar"/>
              </w:rPr>
              <w:br/>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技术服务收入</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分×（收入</w:t>
            </w:r>
            <w:r>
              <w:rPr>
                <w:rFonts w:ascii="宋体" w:hAnsi="宋体" w:cs="宋体"/>
                <w:color w:val="000000" w:themeColor="text1"/>
                <w:kern w:val="0"/>
                <w:sz w:val="22"/>
                <w:lang w:bidi="ar"/>
              </w:rPr>
              <w:t>/100</w:t>
            </w:r>
            <w:r>
              <w:rPr>
                <w:rFonts w:ascii="宋体" w:hAnsi="宋体" w:cs="宋体" w:hint="eastAsia"/>
                <w:color w:val="000000" w:themeColor="text1"/>
                <w:kern w:val="0"/>
                <w:sz w:val="22"/>
                <w:lang w:bidi="ar"/>
              </w:rPr>
              <w:t>万元）</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5</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技术咨询收入</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分×（收入</w:t>
            </w:r>
            <w:r>
              <w:rPr>
                <w:rFonts w:ascii="宋体" w:hAnsi="宋体" w:cs="宋体"/>
                <w:color w:val="000000" w:themeColor="text1"/>
                <w:kern w:val="0"/>
                <w:sz w:val="22"/>
                <w:lang w:bidi="ar"/>
              </w:rPr>
              <w:t>/50</w:t>
            </w:r>
            <w:r>
              <w:rPr>
                <w:rFonts w:ascii="宋体" w:hAnsi="宋体" w:cs="宋体" w:hint="eastAsia"/>
                <w:color w:val="000000" w:themeColor="text1"/>
                <w:kern w:val="0"/>
                <w:sz w:val="22"/>
                <w:lang w:bidi="ar"/>
              </w:rPr>
              <w:t>万元）</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2E017E" w:rsidRDefault="00AB3E6F">
            <w:pPr>
              <w:widowControl/>
              <w:snapToGrid w:val="0"/>
              <w:jc w:val="left"/>
              <w:textAlignment w:val="bottom"/>
              <w:rPr>
                <w:rFonts w:ascii="宋体" w:cs="宋体"/>
                <w:color w:val="000000" w:themeColor="text1"/>
                <w:sz w:val="22"/>
              </w:rPr>
            </w:pPr>
            <w:r>
              <w:rPr>
                <w:rFonts w:ascii="宋体" w:hAnsi="宋体" w:cs="宋体" w:hint="eastAsia"/>
                <w:color w:val="000000" w:themeColor="text1"/>
                <w:kern w:val="0"/>
                <w:sz w:val="22"/>
                <w:lang w:bidi="ar"/>
              </w:rPr>
              <w:t>服务中小</w:t>
            </w:r>
            <w:proofErr w:type="gramStart"/>
            <w:r>
              <w:rPr>
                <w:rFonts w:ascii="宋体" w:hAnsi="宋体" w:cs="宋体" w:hint="eastAsia"/>
                <w:color w:val="000000" w:themeColor="text1"/>
                <w:kern w:val="0"/>
                <w:sz w:val="22"/>
                <w:lang w:bidi="ar"/>
              </w:rPr>
              <w:t>微企业</w:t>
            </w:r>
            <w:proofErr w:type="gramEnd"/>
            <w:r>
              <w:rPr>
                <w:rFonts w:ascii="宋体" w:hAnsi="宋体" w:cs="宋体" w:hint="eastAsia"/>
                <w:color w:val="000000" w:themeColor="text1"/>
                <w:kern w:val="0"/>
                <w:sz w:val="22"/>
                <w:lang w:bidi="ar"/>
              </w:rPr>
              <w:t>数量</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分×（数量</w:t>
            </w:r>
            <w:r>
              <w:rPr>
                <w:rFonts w:ascii="宋体" w:hAnsi="宋体" w:cs="宋体"/>
                <w:color w:val="000000" w:themeColor="text1"/>
                <w:kern w:val="0"/>
                <w:sz w:val="22"/>
                <w:lang w:bidi="ar"/>
              </w:rPr>
              <w:t>/50</w:t>
            </w:r>
            <w:r>
              <w:rPr>
                <w:rFonts w:ascii="宋体" w:hAnsi="宋体" w:cs="宋体" w:hint="eastAsia"/>
                <w:color w:val="000000" w:themeColor="text1"/>
                <w:kern w:val="0"/>
                <w:sz w:val="22"/>
                <w:lang w:bidi="ar"/>
              </w:rPr>
              <w:t>）</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成果转化</w:t>
            </w:r>
            <w:r>
              <w:rPr>
                <w:rFonts w:ascii="宋体" w:cs="宋体"/>
                <w:color w:val="000000" w:themeColor="text1"/>
                <w:kern w:val="0"/>
                <w:sz w:val="22"/>
                <w:lang w:bidi="ar"/>
              </w:rPr>
              <w:br/>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kern w:val="0"/>
                <w:sz w:val="22"/>
                <w:lang w:bidi="ar"/>
              </w:rPr>
            </w:pPr>
            <w:r>
              <w:rPr>
                <w:rFonts w:ascii="宋体" w:hAnsi="宋体" w:cs="宋体" w:hint="eastAsia"/>
                <w:color w:val="000000" w:themeColor="text1"/>
                <w:kern w:val="0"/>
                <w:sz w:val="22"/>
                <w:lang w:bidi="ar"/>
              </w:rPr>
              <w:t>成果转化收益</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kern w:val="0"/>
                <w:sz w:val="22"/>
                <w:lang w:bidi="ar"/>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分×（收入</w:t>
            </w:r>
            <w:r>
              <w:rPr>
                <w:rFonts w:ascii="宋体" w:hAnsi="宋体" w:cs="宋体"/>
                <w:color w:val="000000" w:themeColor="text1"/>
                <w:kern w:val="0"/>
                <w:sz w:val="22"/>
                <w:lang w:bidi="ar"/>
              </w:rPr>
              <w:t>/500</w:t>
            </w:r>
            <w:r>
              <w:rPr>
                <w:rFonts w:ascii="宋体" w:hAnsi="宋体" w:cs="宋体" w:hint="eastAsia"/>
                <w:color w:val="000000" w:themeColor="text1"/>
                <w:kern w:val="0"/>
                <w:sz w:val="22"/>
                <w:lang w:bidi="ar"/>
              </w:rPr>
              <w:t>万元）</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5</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left w:val="single" w:sz="4" w:space="0" w:color="000000"/>
              <w:right w:val="single" w:sz="4" w:space="0" w:color="000000"/>
            </w:tcBorders>
            <w:tcMar>
              <w:top w:w="12" w:type="dxa"/>
              <w:left w:w="12" w:type="dxa"/>
              <w:right w:w="12" w:type="dxa"/>
            </w:tcMar>
            <w:vAlign w:val="center"/>
          </w:tcPr>
          <w:p w:rsidR="002E017E" w:rsidRDefault="002E017E">
            <w:pPr>
              <w:widowControl/>
              <w:snapToGrid w:val="0"/>
              <w:jc w:val="center"/>
              <w:textAlignment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2E017E" w:rsidRDefault="00AB3E6F">
            <w:pPr>
              <w:widowControl/>
              <w:snapToGrid w:val="0"/>
              <w:jc w:val="left"/>
              <w:textAlignment w:val="bottom"/>
              <w:rPr>
                <w:rFonts w:ascii="宋体" w:cs="宋体"/>
                <w:color w:val="000000" w:themeColor="text1"/>
                <w:sz w:val="22"/>
              </w:rPr>
            </w:pPr>
            <w:r>
              <w:rPr>
                <w:rFonts w:ascii="宋体" w:hAnsi="宋体" w:cs="宋体" w:hint="eastAsia"/>
                <w:color w:val="000000" w:themeColor="text1"/>
                <w:kern w:val="0"/>
                <w:sz w:val="22"/>
                <w:lang w:bidi="ar"/>
              </w:rPr>
              <w:t>成果转化数量</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分×数量</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70"/>
          <w:jc w:val="center"/>
        </w:trPr>
        <w:tc>
          <w:tcPr>
            <w:tcW w:w="1422"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left w:val="single" w:sz="4" w:space="0" w:color="000000"/>
              <w:bottom w:val="single" w:sz="4" w:space="0" w:color="auto"/>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2E017E" w:rsidRDefault="00AB3E6F">
            <w:pPr>
              <w:widowControl/>
              <w:snapToGrid w:val="0"/>
              <w:jc w:val="left"/>
              <w:textAlignment w:val="bottom"/>
              <w:rPr>
                <w:rFonts w:ascii="宋体" w:cs="宋体"/>
                <w:color w:val="000000" w:themeColor="text1"/>
                <w:sz w:val="22"/>
              </w:rPr>
            </w:pPr>
            <w:r>
              <w:rPr>
                <w:rFonts w:ascii="宋体" w:hAnsi="宋体" w:cs="宋体" w:hint="eastAsia"/>
                <w:color w:val="000000" w:themeColor="text1"/>
                <w:sz w:val="22"/>
              </w:rPr>
              <w:t>孵化企业数量</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sz w:val="22"/>
              </w:rPr>
              <w:t>2</w:t>
            </w:r>
            <w:r>
              <w:rPr>
                <w:rFonts w:ascii="宋体" w:hAnsi="宋体" w:cs="宋体" w:hint="eastAsia"/>
                <w:color w:val="000000" w:themeColor="text1"/>
                <w:sz w:val="22"/>
              </w:rPr>
              <w:t>分</w:t>
            </w:r>
            <w:r>
              <w:rPr>
                <w:rFonts w:ascii="宋体" w:hAnsi="宋体" w:cs="宋体" w:hint="eastAsia"/>
                <w:color w:val="000000" w:themeColor="text1"/>
                <w:kern w:val="0"/>
                <w:sz w:val="22"/>
                <w:lang w:bidi="ar"/>
              </w:rPr>
              <w:t>×数量</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val="restart"/>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经济效益</w:t>
            </w:r>
            <w:r>
              <w:rPr>
                <w:rFonts w:ascii="宋体" w:cs="宋体"/>
                <w:color w:val="000000" w:themeColor="text1"/>
                <w:kern w:val="0"/>
                <w:sz w:val="22"/>
                <w:lang w:bidi="ar"/>
              </w:rPr>
              <w:br/>
            </w: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新增销售收入</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分×（新增收入</w:t>
            </w: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亿元）</w:t>
            </w:r>
          </w:p>
        </w:tc>
        <w:tc>
          <w:tcPr>
            <w:tcW w:w="760" w:type="dxa"/>
            <w:vMerge w:val="restart"/>
            <w:tcBorders>
              <w:top w:val="single" w:sz="4" w:space="0" w:color="000000"/>
              <w:left w:val="single" w:sz="4" w:space="0" w:color="000000"/>
              <w:right w:val="single" w:sz="4" w:space="0" w:color="000000"/>
            </w:tcBorders>
            <w:tcMar>
              <w:top w:w="12" w:type="dxa"/>
              <w:left w:w="12" w:type="dxa"/>
              <w:right w:w="12" w:type="dxa"/>
            </w:tcMar>
            <w:vAlign w:val="center"/>
          </w:tcPr>
          <w:p w:rsidR="002E017E" w:rsidRDefault="00AB3E6F">
            <w:pPr>
              <w:tabs>
                <w:tab w:val="left" w:pos="308"/>
              </w:tabs>
              <w:snapToGrid w:val="0"/>
              <w:jc w:val="left"/>
              <w:rPr>
                <w:rFonts w:ascii="宋体" w:cs="宋体"/>
                <w:color w:val="000000" w:themeColor="text1"/>
                <w:sz w:val="22"/>
              </w:rPr>
            </w:pPr>
            <w:r>
              <w:rPr>
                <w:rFonts w:ascii="宋体" w:cs="宋体"/>
                <w:color w:val="000000" w:themeColor="text1"/>
                <w:sz w:val="22"/>
              </w:rPr>
              <w:tab/>
            </w:r>
            <w:r>
              <w:rPr>
                <w:rFonts w:ascii="宋体" w:hAnsi="宋体" w:cs="宋体"/>
                <w:color w:val="000000" w:themeColor="text1"/>
                <w:sz w:val="22"/>
              </w:rPr>
              <w:t>5</w:t>
            </w:r>
          </w:p>
        </w:tc>
        <w:tc>
          <w:tcPr>
            <w:tcW w:w="522" w:type="dxa"/>
            <w:vMerge w:val="restart"/>
            <w:tcBorders>
              <w:top w:val="single" w:sz="4" w:space="0" w:color="000000"/>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428"/>
          <w:jc w:val="center"/>
        </w:trPr>
        <w:tc>
          <w:tcPr>
            <w:tcW w:w="1422"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新增税收</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分×（新增税收</w:t>
            </w:r>
            <w:r>
              <w:rPr>
                <w:rFonts w:ascii="宋体" w:hAnsi="宋体" w:cs="宋体"/>
                <w:color w:val="000000" w:themeColor="text1"/>
                <w:kern w:val="0"/>
                <w:sz w:val="22"/>
                <w:lang w:bidi="ar"/>
              </w:rPr>
              <w:t>/1000</w:t>
            </w:r>
            <w:r>
              <w:rPr>
                <w:rFonts w:ascii="宋体" w:hAnsi="宋体" w:cs="宋体" w:hint="eastAsia"/>
                <w:color w:val="000000" w:themeColor="text1"/>
                <w:kern w:val="0"/>
                <w:sz w:val="22"/>
                <w:lang w:bidi="ar"/>
              </w:rPr>
              <w:t>万元）</w:t>
            </w:r>
          </w:p>
        </w:tc>
        <w:tc>
          <w:tcPr>
            <w:tcW w:w="760" w:type="dxa"/>
            <w:vMerge/>
            <w:tcBorders>
              <w:left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88"/>
          <w:jc w:val="center"/>
        </w:trPr>
        <w:tc>
          <w:tcPr>
            <w:tcW w:w="1422"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1697" w:type="dxa"/>
            <w:vMerge/>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254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hint="eastAsia"/>
                <w:color w:val="000000" w:themeColor="text1"/>
                <w:kern w:val="0"/>
                <w:sz w:val="22"/>
                <w:lang w:bidi="ar"/>
              </w:rPr>
              <w:t>带动上下游企业增加产值</w:t>
            </w:r>
          </w:p>
        </w:tc>
        <w:tc>
          <w:tcPr>
            <w:tcW w:w="327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left"/>
              <w:textAlignment w:val="center"/>
              <w:rPr>
                <w:rFonts w:ascii="宋体" w:cs="宋体"/>
                <w:color w:val="000000" w:themeColor="text1"/>
                <w:sz w:val="22"/>
              </w:rPr>
            </w:pP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分×（新增产值</w:t>
            </w:r>
            <w:r>
              <w:rPr>
                <w:rFonts w:ascii="宋体" w:hAnsi="宋体" w:cs="宋体"/>
                <w:color w:val="000000" w:themeColor="text1"/>
                <w:kern w:val="0"/>
                <w:sz w:val="22"/>
                <w:lang w:bidi="ar"/>
              </w:rPr>
              <w:t>/20</w:t>
            </w:r>
            <w:r>
              <w:rPr>
                <w:rFonts w:ascii="宋体" w:hAnsi="宋体" w:cs="宋体" w:hint="eastAsia"/>
                <w:color w:val="000000" w:themeColor="text1"/>
                <w:kern w:val="0"/>
                <w:sz w:val="22"/>
                <w:lang w:bidi="ar"/>
              </w:rPr>
              <w:t>亿元）</w:t>
            </w:r>
          </w:p>
        </w:tc>
        <w:tc>
          <w:tcPr>
            <w:tcW w:w="760" w:type="dxa"/>
            <w:vMerge/>
            <w:tcBorders>
              <w:left w:val="single" w:sz="4" w:space="0" w:color="000000"/>
              <w:bottom w:val="single" w:sz="4" w:space="0" w:color="000000"/>
              <w:right w:val="single" w:sz="4" w:space="0" w:color="000000"/>
            </w:tcBorders>
            <w:tcMar>
              <w:top w:w="12" w:type="dxa"/>
              <w:left w:w="12" w:type="dxa"/>
              <w:right w:w="12" w:type="dxa"/>
            </w:tcMar>
            <w:vAlign w:val="center"/>
          </w:tcPr>
          <w:p w:rsidR="002E017E" w:rsidRDefault="002E017E">
            <w:pPr>
              <w:snapToGrid w:val="0"/>
              <w:jc w:val="center"/>
              <w:rPr>
                <w:rFonts w:ascii="宋体" w:cs="宋体"/>
                <w:color w:val="000000" w:themeColor="text1"/>
                <w:sz w:val="22"/>
              </w:rPr>
            </w:pPr>
          </w:p>
        </w:tc>
        <w:tc>
          <w:tcPr>
            <w:tcW w:w="522" w:type="dxa"/>
            <w:vMerge/>
            <w:tcBorders>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435"/>
          <w:jc w:val="center"/>
        </w:trPr>
        <w:tc>
          <w:tcPr>
            <w:tcW w:w="8929"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jc w:val="center"/>
              <w:textAlignment w:val="center"/>
              <w:rPr>
                <w:rFonts w:ascii="宋体" w:cs="宋体"/>
                <w:color w:val="000000" w:themeColor="text1"/>
                <w:sz w:val="22"/>
              </w:rPr>
            </w:pPr>
            <w:r>
              <w:rPr>
                <w:rFonts w:ascii="宋体" w:hAnsi="宋体" w:cs="宋体" w:hint="eastAsia"/>
                <w:color w:val="000000" w:themeColor="text1"/>
                <w:kern w:val="0"/>
                <w:sz w:val="22"/>
                <w:lang w:bidi="ar"/>
              </w:rPr>
              <w:t>总分</w:t>
            </w:r>
          </w:p>
        </w:tc>
        <w:tc>
          <w:tcPr>
            <w:tcW w:w="760"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snapToGrid w:val="0"/>
              <w:jc w:val="center"/>
              <w:rPr>
                <w:rFonts w:ascii="宋体" w:cs="宋体"/>
                <w:color w:val="000000" w:themeColor="text1"/>
                <w:sz w:val="22"/>
              </w:rPr>
            </w:pPr>
            <w:r>
              <w:rPr>
                <w:rFonts w:ascii="宋体" w:hAnsi="宋体" w:cs="宋体"/>
                <w:color w:val="000000" w:themeColor="text1"/>
                <w:sz w:val="22"/>
              </w:rPr>
              <w:t>100</w:t>
            </w:r>
          </w:p>
        </w:tc>
        <w:tc>
          <w:tcPr>
            <w:tcW w:w="522"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bottom"/>
          </w:tcPr>
          <w:p w:rsidR="002E017E" w:rsidRDefault="002E017E">
            <w:pPr>
              <w:snapToGrid w:val="0"/>
              <w:rPr>
                <w:rFonts w:ascii="宋体" w:cs="宋体"/>
                <w:color w:val="000000" w:themeColor="text1"/>
                <w:sz w:val="22"/>
              </w:rPr>
            </w:pPr>
          </w:p>
        </w:tc>
      </w:tr>
      <w:tr w:rsidR="002E017E">
        <w:trPr>
          <w:trHeight w:val="2610"/>
          <w:jc w:val="center"/>
        </w:trPr>
        <w:tc>
          <w:tcPr>
            <w:tcW w:w="10211" w:type="dxa"/>
            <w:gridSpan w:val="6"/>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2E017E" w:rsidRDefault="00AB3E6F">
            <w:pPr>
              <w:widowControl/>
              <w:snapToGrid w:val="0"/>
              <w:spacing w:after="220" w:line="300" w:lineRule="exact"/>
              <w:textAlignment w:val="top"/>
              <w:rPr>
                <w:rFonts w:ascii="宋体" w:cs="宋体"/>
                <w:color w:val="000000" w:themeColor="text1"/>
                <w:sz w:val="22"/>
              </w:rPr>
            </w:pPr>
            <w:r>
              <w:rPr>
                <w:rFonts w:ascii="宋体" w:hAnsi="宋体" w:cs="宋体" w:hint="eastAsia"/>
                <w:color w:val="000000" w:themeColor="text1"/>
                <w:kern w:val="0"/>
                <w:sz w:val="22"/>
                <w:lang w:bidi="ar"/>
              </w:rPr>
              <w:t>备注：</w:t>
            </w:r>
            <w:r>
              <w:rPr>
                <w:rFonts w:ascii="宋体" w:cs="宋体"/>
                <w:color w:val="000000" w:themeColor="text1"/>
                <w:kern w:val="0"/>
                <w:sz w:val="22"/>
                <w:lang w:bidi="ar"/>
              </w:rPr>
              <w:br/>
            </w:r>
            <w:r>
              <w:rPr>
                <w:rFonts w:ascii="宋体" w:hAnsi="宋体" w:cs="宋体"/>
                <w:color w:val="000000" w:themeColor="text1"/>
                <w:kern w:val="0"/>
                <w:sz w:val="22"/>
                <w:lang w:bidi="ar"/>
              </w:rPr>
              <w:t>1</w:t>
            </w:r>
            <w:r>
              <w:rPr>
                <w:rFonts w:ascii="宋体" w:hAnsi="宋体" w:cs="宋体" w:hint="eastAsia"/>
                <w:color w:val="000000" w:themeColor="text1"/>
                <w:kern w:val="0"/>
                <w:sz w:val="22"/>
                <w:lang w:bidi="ar"/>
              </w:rPr>
              <w:t>、国家级重大项目指主持国家重点研发计划、国家自然基金委重大项目、国家科工委等国家级重大项目；省部级重大项目指财政支持额度</w:t>
            </w:r>
            <w:r>
              <w:rPr>
                <w:rFonts w:ascii="宋体" w:hAnsi="宋体" w:cs="宋体"/>
                <w:color w:val="000000" w:themeColor="text1"/>
                <w:kern w:val="0"/>
                <w:sz w:val="22"/>
                <w:lang w:bidi="ar"/>
              </w:rPr>
              <w:t>300</w:t>
            </w:r>
            <w:r>
              <w:rPr>
                <w:rFonts w:ascii="宋体" w:hAnsi="宋体" w:cs="宋体" w:hint="eastAsia"/>
                <w:color w:val="000000" w:themeColor="text1"/>
                <w:kern w:val="0"/>
                <w:sz w:val="22"/>
                <w:lang w:bidi="ar"/>
              </w:rPr>
              <w:t>万以上项目。</w:t>
            </w:r>
            <w:r>
              <w:rPr>
                <w:rFonts w:ascii="宋体" w:cs="宋体"/>
                <w:color w:val="000000" w:themeColor="text1"/>
                <w:kern w:val="0"/>
                <w:sz w:val="22"/>
                <w:lang w:bidi="ar"/>
              </w:rPr>
              <w:br/>
            </w:r>
            <w:r>
              <w:rPr>
                <w:rFonts w:ascii="宋体" w:hAnsi="宋体" w:cs="宋体"/>
                <w:color w:val="000000" w:themeColor="text1"/>
                <w:kern w:val="0"/>
                <w:sz w:val="22"/>
                <w:lang w:bidi="ar"/>
              </w:rPr>
              <w:t>2</w:t>
            </w:r>
            <w:r>
              <w:rPr>
                <w:rFonts w:ascii="宋体" w:hAnsi="宋体" w:cs="宋体" w:hint="eastAsia"/>
                <w:color w:val="000000" w:themeColor="text1"/>
                <w:kern w:val="0"/>
                <w:sz w:val="22"/>
                <w:lang w:bidi="ar"/>
              </w:rPr>
              <w:t>、国家级人才指</w:t>
            </w:r>
            <w:r>
              <w:rPr>
                <w:rFonts w:ascii="宋体" w:hAnsi="宋体" w:cs="宋体"/>
                <w:color w:val="000000" w:themeColor="text1"/>
                <w:kern w:val="0"/>
                <w:sz w:val="22"/>
                <w:lang w:bidi="ar"/>
              </w:rPr>
              <w:t>QR</w:t>
            </w:r>
            <w:r>
              <w:rPr>
                <w:rFonts w:ascii="宋体" w:hAnsi="宋体" w:cs="宋体" w:hint="eastAsia"/>
                <w:color w:val="000000" w:themeColor="text1"/>
                <w:kern w:val="0"/>
                <w:sz w:val="22"/>
                <w:lang w:bidi="ar"/>
              </w:rPr>
              <w:t>计划、万人计划、长江学者、国家杰青、双</w:t>
            </w:r>
            <w:proofErr w:type="gramStart"/>
            <w:r>
              <w:rPr>
                <w:rFonts w:ascii="宋体" w:hAnsi="宋体" w:cs="宋体" w:hint="eastAsia"/>
                <w:color w:val="000000" w:themeColor="text1"/>
                <w:kern w:val="0"/>
                <w:sz w:val="22"/>
                <w:lang w:bidi="ar"/>
              </w:rPr>
              <w:t>百人才</w:t>
            </w:r>
            <w:proofErr w:type="gramEnd"/>
            <w:r>
              <w:rPr>
                <w:rFonts w:ascii="宋体" w:hAnsi="宋体" w:cs="宋体" w:hint="eastAsia"/>
                <w:color w:val="000000" w:themeColor="text1"/>
                <w:kern w:val="0"/>
                <w:sz w:val="22"/>
                <w:lang w:bidi="ar"/>
              </w:rPr>
              <w:t>等；省级人才指泰山产业领军人才、泰山学者等。</w:t>
            </w:r>
            <w:r>
              <w:rPr>
                <w:rFonts w:ascii="宋体" w:cs="宋体"/>
                <w:color w:val="000000" w:themeColor="text1"/>
                <w:kern w:val="0"/>
                <w:sz w:val="22"/>
                <w:lang w:bidi="ar"/>
              </w:rPr>
              <w:br/>
            </w:r>
            <w:r>
              <w:rPr>
                <w:rFonts w:ascii="宋体" w:hAnsi="宋体" w:cs="宋体"/>
                <w:color w:val="000000" w:themeColor="text1"/>
                <w:kern w:val="0"/>
                <w:sz w:val="22"/>
                <w:lang w:bidi="ar"/>
              </w:rPr>
              <w:t>3</w:t>
            </w:r>
            <w:r>
              <w:rPr>
                <w:rFonts w:ascii="宋体" w:hAnsi="宋体" w:cs="宋体" w:hint="eastAsia"/>
                <w:color w:val="000000" w:themeColor="text1"/>
                <w:kern w:val="0"/>
                <w:sz w:val="22"/>
                <w:lang w:bidi="ar"/>
              </w:rPr>
              <w:t>、省级科技奖励包含省级政府和国家部委奖励，国家行业协会</w:t>
            </w:r>
            <w:proofErr w:type="gramStart"/>
            <w:r>
              <w:rPr>
                <w:rFonts w:ascii="宋体" w:hAnsi="宋体" w:cs="宋体" w:hint="eastAsia"/>
                <w:color w:val="000000" w:themeColor="text1"/>
                <w:kern w:val="0"/>
                <w:sz w:val="22"/>
                <w:lang w:bidi="ar"/>
              </w:rPr>
              <w:t>奖励按</w:t>
            </w:r>
            <w:proofErr w:type="gramEnd"/>
            <w:r>
              <w:rPr>
                <w:rFonts w:ascii="宋体" w:hAnsi="宋体" w:cs="宋体" w:hint="eastAsia"/>
                <w:color w:val="000000" w:themeColor="text1"/>
                <w:kern w:val="0"/>
                <w:sz w:val="22"/>
                <w:lang w:bidi="ar"/>
              </w:rPr>
              <w:t>省部级科技奖励统计。</w:t>
            </w:r>
            <w:r>
              <w:rPr>
                <w:rFonts w:ascii="宋体" w:cs="宋体"/>
                <w:color w:val="000000" w:themeColor="text1"/>
                <w:kern w:val="0"/>
                <w:sz w:val="22"/>
                <w:lang w:bidi="ar"/>
              </w:rPr>
              <w:br/>
            </w:r>
            <w:r>
              <w:rPr>
                <w:rFonts w:ascii="宋体" w:hAnsi="宋体" w:cs="宋体"/>
                <w:color w:val="000000" w:themeColor="text1"/>
                <w:kern w:val="0"/>
                <w:sz w:val="22"/>
                <w:lang w:bidi="ar"/>
              </w:rPr>
              <w:t>4</w:t>
            </w:r>
            <w:r>
              <w:rPr>
                <w:rFonts w:ascii="宋体" w:hAnsi="宋体" w:cs="宋体" w:hint="eastAsia"/>
                <w:color w:val="000000" w:themeColor="text1"/>
                <w:kern w:val="0"/>
                <w:sz w:val="22"/>
                <w:lang w:bidi="ar"/>
              </w:rPr>
              <w:t>、经济效益中新增销售收入和新增税收统计范围包括中心依托单位和发起成立单位。</w:t>
            </w:r>
            <w:r>
              <w:rPr>
                <w:rFonts w:ascii="宋体" w:cs="宋体"/>
                <w:color w:val="000000" w:themeColor="text1"/>
                <w:kern w:val="0"/>
                <w:sz w:val="22"/>
                <w:lang w:bidi="ar"/>
              </w:rPr>
              <w:br/>
            </w:r>
            <w:r>
              <w:rPr>
                <w:rFonts w:ascii="宋体" w:hAnsi="宋体" w:cs="宋体"/>
                <w:color w:val="000000" w:themeColor="text1"/>
                <w:kern w:val="0"/>
                <w:sz w:val="22"/>
                <w:lang w:bidi="ar"/>
              </w:rPr>
              <w:t>5</w:t>
            </w:r>
            <w:r>
              <w:rPr>
                <w:rFonts w:ascii="宋体" w:hAnsi="宋体" w:cs="宋体" w:hint="eastAsia"/>
                <w:color w:val="000000" w:themeColor="text1"/>
                <w:kern w:val="0"/>
                <w:sz w:val="22"/>
                <w:lang w:bidi="ar"/>
              </w:rPr>
              <w:t>、“卡脖子”技术指没有自主产权，被国外垄断，受制于人的技术；重大共性关键技术指在多个行业或领域广泛应用，并对整个或多个产业形成瓶颈制约作用的技术；行业前沿技术指高技术领域中具有前瞻性、先导性和探索性的重大技术。</w:t>
            </w:r>
            <w:r>
              <w:rPr>
                <w:rFonts w:ascii="宋体" w:cs="宋体"/>
                <w:color w:val="000000" w:themeColor="text1"/>
                <w:kern w:val="0"/>
                <w:sz w:val="22"/>
                <w:lang w:bidi="ar"/>
              </w:rPr>
              <w:br/>
            </w:r>
            <w:r>
              <w:rPr>
                <w:rFonts w:ascii="宋体" w:hAnsi="宋体" w:cs="宋体"/>
                <w:color w:val="000000" w:themeColor="text1"/>
                <w:kern w:val="0"/>
                <w:sz w:val="22"/>
                <w:lang w:bidi="ar"/>
              </w:rPr>
              <w:t>6</w:t>
            </w:r>
            <w:r>
              <w:rPr>
                <w:rFonts w:ascii="宋体" w:hAnsi="宋体" w:cs="宋体" w:hint="eastAsia"/>
                <w:color w:val="000000" w:themeColor="text1"/>
                <w:kern w:val="0"/>
                <w:sz w:val="22"/>
                <w:lang w:bidi="ar"/>
              </w:rPr>
              <w:t>、研发投入是指依托单位和主管部门对技术创新中心的科研投入。</w:t>
            </w:r>
          </w:p>
        </w:tc>
      </w:tr>
    </w:tbl>
    <w:p w:rsidR="002E017E" w:rsidRDefault="002E017E">
      <w:pPr>
        <w:tabs>
          <w:tab w:val="left" w:pos="6305"/>
        </w:tabs>
        <w:spacing w:line="580" w:lineRule="exact"/>
        <w:ind w:firstLineChars="200" w:firstLine="420"/>
        <w:jc w:val="left"/>
        <w:rPr>
          <w:color w:val="000000" w:themeColor="text1"/>
        </w:rPr>
      </w:pPr>
    </w:p>
    <w:p w:rsidR="002E017E" w:rsidRDefault="002E017E">
      <w:pPr>
        <w:rPr>
          <w:color w:val="000000" w:themeColor="text1"/>
        </w:rPr>
      </w:pPr>
    </w:p>
    <w:p w:rsidR="002E017E" w:rsidRDefault="002E017E">
      <w:pPr>
        <w:rPr>
          <w:color w:val="000000" w:themeColor="text1"/>
        </w:rPr>
      </w:pPr>
    </w:p>
    <w:p w:rsidR="002E017E" w:rsidRDefault="002E017E">
      <w:pPr>
        <w:jc w:val="left"/>
        <w:rPr>
          <w:rFonts w:ascii="仿宋" w:eastAsia="仿宋" w:hAnsi="仿宋"/>
          <w:color w:val="000000" w:themeColor="text1"/>
          <w:sz w:val="36"/>
          <w:szCs w:val="36"/>
          <w:shd w:val="clear" w:color="auto" w:fill="FFFFFF"/>
        </w:rPr>
      </w:pPr>
    </w:p>
    <w:p w:rsidR="002E017E" w:rsidRDefault="002E017E">
      <w:pPr>
        <w:jc w:val="left"/>
        <w:rPr>
          <w:rFonts w:ascii="仿宋" w:eastAsia="仿宋" w:hAnsi="仿宋"/>
          <w:color w:val="000000" w:themeColor="text1"/>
          <w:sz w:val="36"/>
          <w:szCs w:val="36"/>
          <w:shd w:val="clear" w:color="auto" w:fill="FFFFFF"/>
        </w:rPr>
      </w:pPr>
    </w:p>
    <w:p w:rsidR="002E017E" w:rsidRDefault="002E017E">
      <w:pPr>
        <w:jc w:val="left"/>
        <w:rPr>
          <w:rFonts w:ascii="仿宋" w:eastAsia="仿宋" w:hAnsi="仿宋"/>
          <w:color w:val="000000" w:themeColor="text1"/>
          <w:sz w:val="36"/>
          <w:szCs w:val="36"/>
          <w:shd w:val="clear" w:color="auto" w:fill="FFFFFF"/>
        </w:rPr>
      </w:pPr>
    </w:p>
    <w:p w:rsidR="002E017E" w:rsidRDefault="002E017E">
      <w:pPr>
        <w:jc w:val="left"/>
        <w:rPr>
          <w:rFonts w:ascii="仿宋" w:eastAsia="仿宋" w:hAnsi="仿宋"/>
          <w:color w:val="000000" w:themeColor="text1"/>
          <w:sz w:val="36"/>
          <w:szCs w:val="36"/>
          <w:shd w:val="clear" w:color="auto" w:fill="FFFFFF"/>
        </w:rPr>
      </w:pPr>
    </w:p>
    <w:p w:rsidR="002E017E" w:rsidRDefault="002E017E">
      <w:pPr>
        <w:rPr>
          <w:rFonts w:ascii="仿宋" w:eastAsia="仿宋" w:hAnsi="仿宋"/>
          <w:color w:val="000000" w:themeColor="text1"/>
          <w:sz w:val="32"/>
          <w:szCs w:val="32"/>
        </w:rPr>
      </w:pPr>
    </w:p>
    <w:sectPr w:rsidR="002E017E">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E6F" w:rsidRDefault="00AB3E6F">
      <w:r>
        <w:separator/>
      </w:r>
    </w:p>
  </w:endnote>
  <w:endnote w:type="continuationSeparator" w:id="0">
    <w:p w:rsidR="00AB3E6F" w:rsidRDefault="00AB3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font>
  <w:font w:name="方正黑体_GBK">
    <w:altName w:val="Arial Unicode MS"/>
    <w:charset w:val="86"/>
    <w:family w:val="auto"/>
    <w:pitch w:val="default"/>
    <w:sig w:usb0="00000000" w:usb1="00000000" w:usb2="00000000" w:usb3="00000000" w:csb0="00040000" w:csb1="00000000"/>
  </w:font>
  <w:font w:name="sans-serif">
    <w:altName w:val="Arial Unicode MS"/>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17E" w:rsidRDefault="00AB3E6F">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E017E" w:rsidRDefault="00AB3E6F">
                          <w:pPr>
                            <w:pStyle w:val="a3"/>
                          </w:pPr>
                          <w:r>
                            <w:fldChar w:fldCharType="begin"/>
                          </w:r>
                          <w:r>
                            <w:instrText xml:space="preserve"> PAGE  \* MERGEFORMAT </w:instrText>
                          </w:r>
                          <w:r>
                            <w:fldChar w:fldCharType="separate"/>
                          </w:r>
                          <w:r w:rsidR="000A31A3">
                            <w:rPr>
                              <w:noProof/>
                            </w:rPr>
                            <w:t>11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E017E" w:rsidRDefault="00AB3E6F">
                    <w:pPr>
                      <w:pStyle w:val="a3"/>
                    </w:pPr>
                    <w:r>
                      <w:fldChar w:fldCharType="begin"/>
                    </w:r>
                    <w:r>
                      <w:instrText xml:space="preserve"> PAGE  \* MERGEFORMAT </w:instrText>
                    </w:r>
                    <w:r>
                      <w:fldChar w:fldCharType="separate"/>
                    </w:r>
                    <w:r w:rsidR="000A31A3">
                      <w:rPr>
                        <w:noProof/>
                      </w:rPr>
                      <w:t>11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E6F" w:rsidRDefault="00AB3E6F">
      <w:r>
        <w:separator/>
      </w:r>
    </w:p>
  </w:footnote>
  <w:footnote w:type="continuationSeparator" w:id="0">
    <w:p w:rsidR="00AB3E6F" w:rsidRDefault="00AB3E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6C8"/>
    <w:rsid w:val="DFF37CA4"/>
    <w:rsid w:val="EF6DE7E3"/>
    <w:rsid w:val="FDBF25DB"/>
    <w:rsid w:val="000235AD"/>
    <w:rsid w:val="000A31A3"/>
    <w:rsid w:val="002B28E4"/>
    <w:rsid w:val="002E017E"/>
    <w:rsid w:val="006165A5"/>
    <w:rsid w:val="00852CA2"/>
    <w:rsid w:val="00AB3E6F"/>
    <w:rsid w:val="00F24EED"/>
    <w:rsid w:val="00FD06C8"/>
    <w:rsid w:val="02B62882"/>
    <w:rsid w:val="057E483A"/>
    <w:rsid w:val="082E0CDB"/>
    <w:rsid w:val="0D0C00B6"/>
    <w:rsid w:val="15CC53C5"/>
    <w:rsid w:val="2D1FE474"/>
    <w:rsid w:val="3FDFB6AF"/>
    <w:rsid w:val="44281F93"/>
    <w:rsid w:val="4E0A24E9"/>
    <w:rsid w:val="5BA171E8"/>
    <w:rsid w:val="5FE48244"/>
    <w:rsid w:val="765D0B79"/>
    <w:rsid w:val="772B4D4E"/>
    <w:rsid w:val="7B17E758"/>
    <w:rsid w:val="7FBD6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fontstyle01">
    <w:name w:val="fontstyle01"/>
    <w:basedOn w:val="a0"/>
    <w:qFormat/>
    <w:rPr>
      <w:rFonts w:ascii="楷体" w:hAnsi="楷体" w:hint="default"/>
      <w:color w:val="000000"/>
      <w:sz w:val="32"/>
      <w:szCs w:val="32"/>
    </w:rPr>
  </w:style>
  <w:style w:type="character" w:customStyle="1" w:styleId="fontstyle21">
    <w:name w:val="fontstyle21"/>
    <w:basedOn w:val="a0"/>
    <w:qFormat/>
    <w:rPr>
      <w:rFonts w:ascii="仿宋_GB2312" w:eastAsia="仿宋_GB2312" w:hint="eastAsia"/>
      <w:color w:val="000000"/>
      <w:sz w:val="32"/>
      <w:szCs w:val="32"/>
    </w:rPr>
  </w:style>
  <w:style w:type="character" w:customStyle="1" w:styleId="fontstyle31">
    <w:name w:val="fontstyle31"/>
    <w:basedOn w:val="a0"/>
    <w:qFormat/>
    <w:rPr>
      <w:rFonts w:ascii="TimesNewRomanPSMT" w:hAnsi="TimesNewRomanPSMT" w:hint="default"/>
      <w:color w:val="000000"/>
      <w:sz w:val="32"/>
      <w:szCs w:val="32"/>
    </w:rPr>
  </w:style>
  <w:style w:type="character" w:customStyle="1" w:styleId="fontstyle41">
    <w:name w:val="fontstyle41"/>
    <w:basedOn w:val="a0"/>
    <w:qFormat/>
    <w:rPr>
      <w:rFonts w:ascii="宋体" w:eastAsia="宋体" w:hAnsi="宋体" w:hint="eastAsia"/>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3">
    <w:name w:val="heading 3"/>
    <w:basedOn w:val="a"/>
    <w:next w:val="a"/>
    <w:unhideWhenUsed/>
    <w:qFormat/>
    <w:pPr>
      <w:spacing w:before="100" w:beforeAutospacing="1" w:after="100" w:afterAutospacing="1"/>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character" w:customStyle="1" w:styleId="fontstyle01">
    <w:name w:val="fontstyle01"/>
    <w:basedOn w:val="a0"/>
    <w:qFormat/>
    <w:rPr>
      <w:rFonts w:ascii="楷体" w:hAnsi="楷体" w:hint="default"/>
      <w:color w:val="000000"/>
      <w:sz w:val="32"/>
      <w:szCs w:val="32"/>
    </w:rPr>
  </w:style>
  <w:style w:type="character" w:customStyle="1" w:styleId="fontstyle21">
    <w:name w:val="fontstyle21"/>
    <w:basedOn w:val="a0"/>
    <w:qFormat/>
    <w:rPr>
      <w:rFonts w:ascii="仿宋_GB2312" w:eastAsia="仿宋_GB2312" w:hint="eastAsia"/>
      <w:color w:val="000000"/>
      <w:sz w:val="32"/>
      <w:szCs w:val="32"/>
    </w:rPr>
  </w:style>
  <w:style w:type="character" w:customStyle="1" w:styleId="fontstyle31">
    <w:name w:val="fontstyle31"/>
    <w:basedOn w:val="a0"/>
    <w:qFormat/>
    <w:rPr>
      <w:rFonts w:ascii="TimesNewRomanPSMT" w:hAnsi="TimesNewRomanPSMT" w:hint="default"/>
      <w:color w:val="000000"/>
      <w:sz w:val="32"/>
      <w:szCs w:val="32"/>
    </w:rPr>
  </w:style>
  <w:style w:type="character" w:customStyle="1" w:styleId="fontstyle41">
    <w:name w:val="fontstyle41"/>
    <w:basedOn w:val="a0"/>
    <w:qFormat/>
    <w:rPr>
      <w:rFonts w:ascii="宋体" w:eastAsia="宋体" w:hAnsi="宋体" w:hint="eastAsia"/>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kjt.shandong.gov.cn/art/2020/12/8/art_103585_10105854.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jt.shandong.gov.cn/art/2020/12/8/art_103585_10105854.html" TargetMode="External"/><Relationship Id="rId5" Type="http://schemas.openxmlformats.org/officeDocument/2006/relationships/webSettings" Target="webSettings.xml"/><Relationship Id="rId10" Type="http://schemas.openxmlformats.org/officeDocument/2006/relationships/hyperlink" Target="http://kjt.shandong.gov.cn/art/2020/12/8/art_103585_10105854.html" TargetMode="External"/><Relationship Id="rId4" Type="http://schemas.openxmlformats.org/officeDocument/2006/relationships/settings" Target="settings.xml"/><Relationship Id="rId9" Type="http://schemas.openxmlformats.org/officeDocument/2006/relationships/hyperlink" Target="http://kjt.shandong.gov.cn/art/2020/12/8/art_103585_10105854.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2021-08-25T07:24:00Z</dcterms:created>
  <dcterms:modified xsi:type="dcterms:W3CDTF">2021-08-25T07:24:00Z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35B044350EF94C8E94B7798B252311D7</vt:lpwstr>
  </property>
</Properties>
</file>