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附件1:   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2019年度省基金重大基础研究项目指南</w:t>
      </w:r>
    </w:p>
    <w:p>
      <w:pPr>
        <w:spacing w:after="0" w:line="560" w:lineRule="exact"/>
        <w:ind w:firstLine="3052" w:firstLineChars="950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（征求意见稿）</w:t>
      </w:r>
    </w:p>
    <w:p>
      <w:pPr>
        <w:pStyle w:val="2"/>
        <w:spacing w:before="0" w:beforeAutospacing="0" w:after="0" w:afterAutospacing="0" w:line="560" w:lineRule="exact"/>
        <w:ind w:firstLine="641" w:firstLineChars="200"/>
        <w:jc w:val="both"/>
        <w:rPr>
          <w:rFonts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  <w:t>一、优势学科提升类</w:t>
      </w:r>
    </w:p>
    <w:p>
      <w:pPr>
        <w:spacing w:after="0" w:line="560" w:lineRule="exact"/>
        <w:ind w:firstLine="640" w:firstLineChars="200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333333"/>
          <w:sz w:val="32"/>
          <w:szCs w:val="32"/>
          <w:shd w:val="clear" w:color="auto" w:fill="FFFFFF"/>
        </w:rPr>
        <w:t>遴选我省在国内居领先地位的领域（或方向）的高水平团队，围绕所在优势学科发展前沿，引导团队瞄准产业“卡脖子”关键共性技术，组织开展较为系统深入的应用基础研究，力争取得重大关键技术突破，形成核心技术专利群，服务全省新旧动能转换重大工程。</w:t>
      </w:r>
    </w:p>
    <w:p>
      <w:pPr>
        <w:spacing w:after="0" w:line="560" w:lineRule="exact"/>
        <w:ind w:firstLine="641" w:firstLineChars="200"/>
        <w:jc w:val="both"/>
        <w:rPr>
          <w:rFonts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  <w:t>二、战略跟踪类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跟踪学科发展前沿，开展适度前瞻性研究，夯实知识与技术的储备，提升我省相关领域的学术影响力与竞争力。要求结合重大应用需求开展深入的研究工作，掌握核心技术，发表高水平论文，申报发明专利5件以上。</w:t>
      </w:r>
    </w:p>
    <w:p>
      <w:pPr>
        <w:numPr>
          <w:ilvl w:val="0"/>
          <w:numId w:val="1"/>
        </w:num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医用增材制造(2019B01)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0" w:name="_Toc9119"/>
      <w:r>
        <w:rPr>
          <w:rFonts w:hint="eastAsia" w:ascii="仿宋_GB2312" w:hAnsi="仿宋_GB2312" w:eastAsia="仿宋_GB2312" w:cs="仿宋_GB2312"/>
          <w:sz w:val="32"/>
          <w:szCs w:val="32"/>
        </w:rPr>
        <w:t>2. 合成微生物细胞工厂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（2019B02）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1" w:name="_Toc31411"/>
      <w:r>
        <w:rPr>
          <w:rFonts w:hint="eastAsia" w:ascii="仿宋_GB2312" w:hAnsi="仿宋_GB2312" w:eastAsia="仿宋_GB2312" w:cs="仿宋_GB2312"/>
          <w:sz w:val="32"/>
          <w:szCs w:val="32"/>
        </w:rPr>
        <w:t>3. 新一代钙钛矿太阳能电池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（2019B03）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bookmarkStart w:id="2" w:name="_Toc980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大数据应用数学模型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（2019B04） 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微纳制造关键技术(2019B05)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太赫兹、量子信息与器件（2019B06）</w:t>
      </w:r>
    </w:p>
    <w:p>
      <w:pPr>
        <w:spacing w:after="0" w:line="560" w:lineRule="exact"/>
        <w:ind w:firstLine="3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7. 材料基因工程（2019B07）</w:t>
      </w:r>
    </w:p>
    <w:p>
      <w:pPr>
        <w:spacing w:after="0" w:line="560" w:lineRule="exact"/>
        <w:ind w:firstLine="320" w:firstLineChars="100"/>
        <w:jc w:val="both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8. 人机交互技术(2019B08)</w:t>
      </w:r>
    </w:p>
    <w:p>
      <w:pPr>
        <w:spacing w:after="0" w:line="560" w:lineRule="exact"/>
        <w:ind w:firstLine="641" w:firstLineChars="200"/>
        <w:jc w:val="both"/>
        <w:rPr>
          <w:rFonts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</w:pPr>
      <w:bookmarkStart w:id="3" w:name="_Toc6878"/>
      <w:r>
        <w:rPr>
          <w:rFonts w:hint="eastAsia" w:ascii="华文楷体" w:hAnsi="华文楷体" w:eastAsia="华文楷体" w:cs="华文楷体"/>
          <w:b/>
          <w:bCs/>
          <w:color w:val="333333"/>
          <w:sz w:val="32"/>
          <w:szCs w:val="32"/>
          <w:shd w:val="clear" w:color="auto" w:fill="FFFFFF"/>
        </w:rPr>
        <w:t>三、基础研究成果深度消化类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前期基础研究取得成果的基础上，与省内相关企业（行业管理部门）进行有效对接，针对产业应用中的实际需求与“卡脖子”的技术瓶颈问题，开展深入的应用基础研究，掌握相关的核心技术，为最终攻克技术难题奠定基础。要求项目研究的预期技术指标达到相关产业的领先水平，申报发明专利5件以上。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生物传感器基础理论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应用（2019C01）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4" w:name="_Toc31033"/>
      <w:r>
        <w:rPr>
          <w:rFonts w:hint="eastAsia" w:ascii="仿宋_GB2312" w:hAnsi="仿宋_GB2312" w:eastAsia="仿宋_GB2312" w:cs="仿宋_GB2312"/>
          <w:sz w:val="32"/>
          <w:szCs w:val="32"/>
        </w:rPr>
        <w:t>10. 分子探针医学成像应用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(2019C02)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5" w:name="_Toc897"/>
      <w:r>
        <w:rPr>
          <w:rFonts w:hint="eastAsia" w:ascii="仿宋_GB2312" w:hAnsi="仿宋_GB2312" w:eastAsia="仿宋_GB2312" w:cs="仿宋_GB2312"/>
          <w:sz w:val="32"/>
          <w:szCs w:val="32"/>
        </w:rPr>
        <w:t>11. 植物干细胞基础理论应用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(2019C03)</w:t>
      </w:r>
      <w:bookmarkStart w:id="6" w:name="_Toc10319"/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 机器人关键核心控制算法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应用(2019C04)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7" w:name="_Toc5094"/>
      <w:r>
        <w:rPr>
          <w:rFonts w:hint="eastAsia" w:ascii="仿宋_GB2312" w:hAnsi="仿宋_GB2312" w:eastAsia="仿宋_GB2312" w:cs="仿宋_GB2312"/>
          <w:sz w:val="32"/>
          <w:szCs w:val="32"/>
        </w:rPr>
        <w:t>13. 大宗化工原料高附加值深加工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(2019C05)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8" w:name="_Toc5194"/>
      <w:r>
        <w:rPr>
          <w:rFonts w:hint="eastAsia" w:ascii="仿宋_GB2312" w:hAnsi="仿宋_GB2312" w:eastAsia="仿宋_GB2312" w:cs="仿宋_GB2312"/>
          <w:sz w:val="32"/>
          <w:szCs w:val="32"/>
        </w:rPr>
        <w:t>14. 高效催化材料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(2019C06)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bookmarkStart w:id="9" w:name="_Toc25219"/>
      <w:r>
        <w:rPr>
          <w:rFonts w:hint="eastAsia" w:ascii="仿宋_GB2312" w:hAnsi="仿宋_GB2312" w:eastAsia="仿宋_GB2312" w:cs="仿宋_GB2312"/>
          <w:sz w:val="32"/>
          <w:szCs w:val="32"/>
        </w:rPr>
        <w:t>15. 大宗工业及城市固废制备绿色建材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(2019C07)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 工业</w:t>
      </w:r>
      <w:r>
        <w:rPr>
          <w:rFonts w:ascii="仿宋_GB2312" w:hAnsi="仿宋_GB2312" w:eastAsia="仿宋_GB2312" w:cs="仿宋_GB2312"/>
          <w:sz w:val="32"/>
          <w:szCs w:val="32"/>
        </w:rPr>
        <w:t>污水深度处理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关键理论与核心技术（2019C08）</w:t>
      </w:r>
    </w:p>
    <w:p>
      <w:pPr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17．特色农副产品高附加值转化（2019C09）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新型靶向药物开发（2019C10）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中药药效物质发现与开发（2019C11）</w:t>
      </w:r>
    </w:p>
    <w:p>
      <w:pPr>
        <w:spacing w:after="0" w:line="560" w:lineRule="exact"/>
        <w:ind w:left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 生物组织工程材料(2019C12)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 信息功能材料与器件(2019C13）</w:t>
      </w:r>
    </w:p>
    <w:p>
      <w:pPr>
        <w:spacing w:after="0" w:line="560" w:lineRule="exact"/>
        <w:ind w:left="1309" w:leftChars="304" w:hanging="640" w:hanging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 先进储能材料与器件(2019C14)</w:t>
      </w:r>
    </w:p>
    <w:p>
      <w:pPr>
        <w:spacing w:after="0" w:line="560" w:lineRule="exact"/>
        <w:ind w:firstLine="3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23. 极端条件下复合陶瓷材料（2019C15）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 微化工技术(2019C16)</w:t>
      </w:r>
    </w:p>
    <w:p>
      <w:pPr>
        <w:spacing w:after="0" w:line="560" w:lineRule="exact"/>
        <w:ind w:firstLine="3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25. 高效焊接加工技术(2019C17)</w:t>
      </w:r>
    </w:p>
    <w:p>
      <w:pPr>
        <w:spacing w:after="0" w:line="560" w:lineRule="exact"/>
        <w:ind w:firstLine="3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26. 机械曲面抛光技术(2019C18)</w:t>
      </w:r>
    </w:p>
    <w:p>
      <w:pPr>
        <w:spacing w:after="0" w:line="560" w:lineRule="exact"/>
        <w:ind w:firstLine="32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27. 模具加工关键制造技术(2019C19)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 高效热交换器设计与制造（2019C20）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 煤清洁利用技术(2019C21)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 生物农药与生物防治技术（2019C22）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 典型区域土壤污染治理(2019C23)</w:t>
      </w:r>
    </w:p>
    <w:p>
      <w:pPr>
        <w:spacing w:after="0" w:line="560" w:lineRule="exact"/>
        <w:ind w:firstLine="320"/>
        <w:jc w:val="both"/>
      </w:pPr>
      <w:r>
        <w:rPr>
          <w:rFonts w:hint="eastAsia" w:ascii="仿宋_GB2312" w:eastAsia="仿宋_GB2312"/>
          <w:sz w:val="32"/>
          <w:szCs w:val="32"/>
        </w:rPr>
        <w:t xml:space="preserve">  32. 区域金融风险防范数学模型（2019C24） 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61128B"/>
    <w:multiLevelType w:val="singleLevel"/>
    <w:tmpl w:val="C06112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53F3"/>
    <w:rsid w:val="697853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2018-07-06T07:15:00Z</dcterms:created>
  <dc:creator>董天</dc:creator>
  <cp:lastModifiedBy>董天</cp:lastModifiedBy>
  <dcterms:modified xsi:type="dcterms:W3CDTF">2018-07-06T07:15:46Z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